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DC68" w14:textId="77777777" w:rsidR="00907407" w:rsidRDefault="00907407" w:rsidP="005F2A62">
      <w:pPr>
        <w:spacing w:line="480" w:lineRule="auto"/>
        <w:jc w:val="center"/>
        <w:rPr>
          <w:lang w:val="en-GB"/>
        </w:rPr>
      </w:pPr>
      <w:r>
        <w:rPr>
          <w:lang w:val="en-GB"/>
        </w:rPr>
        <w:t>Original Paper</w:t>
      </w:r>
    </w:p>
    <w:p w14:paraId="755D3373" w14:textId="050748AB" w:rsidR="005F2A62" w:rsidRPr="002840A4" w:rsidRDefault="00192FCC" w:rsidP="005F2A62">
      <w:pPr>
        <w:spacing w:line="480" w:lineRule="auto"/>
        <w:jc w:val="center"/>
        <w:rPr>
          <w:lang w:val="en-GB"/>
        </w:rPr>
      </w:pPr>
      <w:r>
        <w:rPr>
          <w:lang w:val="en-GB"/>
        </w:rPr>
        <w:t xml:space="preserve">Engagement </w:t>
      </w:r>
      <w:r w:rsidR="00B97B19">
        <w:rPr>
          <w:lang w:val="en-GB"/>
        </w:rPr>
        <w:t xml:space="preserve">within a mobile phone-based smoking cessation intervention for adolescents </w:t>
      </w:r>
      <w:r>
        <w:rPr>
          <w:lang w:val="en-GB"/>
        </w:rPr>
        <w:t xml:space="preserve">and its association with </w:t>
      </w:r>
      <w:r w:rsidR="00B97B19">
        <w:rPr>
          <w:lang w:val="en-GB"/>
        </w:rPr>
        <w:t xml:space="preserve">participant </w:t>
      </w:r>
      <w:r>
        <w:rPr>
          <w:lang w:val="en-GB"/>
        </w:rPr>
        <w:t>characteristics and outcome</w:t>
      </w:r>
      <w:r w:rsidR="00D0573C">
        <w:rPr>
          <w:lang w:val="en-GB"/>
        </w:rPr>
        <w:t>s</w:t>
      </w:r>
    </w:p>
    <w:p w14:paraId="138BC89A" w14:textId="77777777" w:rsidR="005F2A62" w:rsidRDefault="005F2A62" w:rsidP="005F2A62">
      <w:pPr>
        <w:spacing w:line="480" w:lineRule="auto"/>
        <w:jc w:val="center"/>
        <w:rPr>
          <w:lang w:val="en-GB"/>
        </w:rPr>
      </w:pPr>
    </w:p>
    <w:p w14:paraId="749B7F4E" w14:textId="77777777" w:rsidR="005F2A62" w:rsidRDefault="005F2A62" w:rsidP="005F2A62">
      <w:pPr>
        <w:spacing w:line="480" w:lineRule="auto"/>
        <w:jc w:val="center"/>
        <w:rPr>
          <w:lang w:val="en-GB"/>
        </w:rPr>
      </w:pPr>
    </w:p>
    <w:p w14:paraId="0C6FB87E" w14:textId="6722F943" w:rsidR="005F2A62" w:rsidRPr="00236C85" w:rsidRDefault="006209C8" w:rsidP="006209C8">
      <w:pPr>
        <w:tabs>
          <w:tab w:val="left" w:pos="1770"/>
          <w:tab w:val="center" w:pos="4536"/>
        </w:tabs>
        <w:spacing w:line="480" w:lineRule="auto"/>
        <w:rPr>
          <w:lang w:val="en-GB"/>
        </w:rPr>
      </w:pPr>
      <w:r>
        <w:rPr>
          <w:lang w:val="en-GB"/>
        </w:rPr>
        <w:tab/>
      </w:r>
      <w:r>
        <w:rPr>
          <w:lang w:val="en-GB"/>
        </w:rPr>
        <w:tab/>
      </w:r>
      <w:r w:rsidR="005F2A62" w:rsidRPr="00086C43">
        <w:rPr>
          <w:lang w:val="en-GB"/>
        </w:rPr>
        <w:t xml:space="preserve">Date of submission: </w:t>
      </w:r>
      <w:r w:rsidR="003C7F98">
        <w:rPr>
          <w:lang w:val="en-GB"/>
        </w:rPr>
        <w:t>1</w:t>
      </w:r>
      <w:r w:rsidR="00D41425">
        <w:rPr>
          <w:lang w:val="en-GB"/>
        </w:rPr>
        <w:t>6</w:t>
      </w:r>
      <w:r w:rsidR="003C7F98">
        <w:rPr>
          <w:lang w:val="en-GB"/>
        </w:rPr>
        <w:t>. June</w:t>
      </w:r>
      <w:r w:rsidRPr="00086C43">
        <w:rPr>
          <w:lang w:val="en-GB"/>
        </w:rPr>
        <w:t xml:space="preserve"> 2017</w:t>
      </w:r>
    </w:p>
    <w:p w14:paraId="350575A4" w14:textId="77777777" w:rsidR="005F2A62" w:rsidRPr="00236C85" w:rsidRDefault="005F2A62" w:rsidP="005F2A62">
      <w:pPr>
        <w:spacing w:line="480" w:lineRule="auto"/>
        <w:jc w:val="center"/>
        <w:rPr>
          <w:lang w:val="en-GB"/>
        </w:rPr>
      </w:pPr>
    </w:p>
    <w:p w14:paraId="2D7EF370" w14:textId="77777777" w:rsidR="005F2A62" w:rsidRPr="00236C85" w:rsidRDefault="005F2A62" w:rsidP="005F2A62">
      <w:pPr>
        <w:spacing w:line="480" w:lineRule="auto"/>
        <w:jc w:val="center"/>
        <w:rPr>
          <w:lang w:val="en-GB"/>
        </w:rPr>
      </w:pPr>
      <w:r w:rsidRPr="00236C85">
        <w:rPr>
          <w:lang w:val="en-GB"/>
        </w:rPr>
        <w:t>Raquel Paz Castro*</w:t>
      </w:r>
      <w:r w:rsidRPr="00236C85">
        <w:rPr>
          <w:vertAlign w:val="superscript"/>
          <w:lang w:val="en-GB"/>
        </w:rPr>
        <w:t>1</w:t>
      </w:r>
      <w:r w:rsidRPr="00236C85">
        <w:rPr>
          <w:lang w:val="en-GB"/>
        </w:rPr>
        <w:t xml:space="preserve">, </w:t>
      </w:r>
      <w:proofErr w:type="spellStart"/>
      <w:r w:rsidRPr="00236C85">
        <w:rPr>
          <w:lang w:val="en-GB"/>
        </w:rPr>
        <w:t>Severin</w:t>
      </w:r>
      <w:proofErr w:type="spellEnd"/>
      <w:r w:rsidRPr="00236C85">
        <w:rPr>
          <w:lang w:val="en-GB"/>
        </w:rPr>
        <w:t xml:space="preserve"> </w:t>
      </w:r>
      <w:r w:rsidRPr="00086C43">
        <w:rPr>
          <w:lang w:val="en-GB"/>
        </w:rPr>
        <w:t>Haug</w:t>
      </w:r>
      <w:r w:rsidRPr="00086C43">
        <w:rPr>
          <w:vertAlign w:val="superscript"/>
          <w:lang w:val="en-GB"/>
        </w:rPr>
        <w:t>1</w:t>
      </w:r>
      <w:r w:rsidRPr="00086C43">
        <w:rPr>
          <w:lang w:val="en-GB"/>
        </w:rPr>
        <w:t xml:space="preserve">, Andreas </w:t>
      </w:r>
      <w:r w:rsidR="00687D8C" w:rsidRPr="00086C43">
        <w:rPr>
          <w:lang w:val="en-GB"/>
        </w:rPr>
        <w:t>Filler</w:t>
      </w:r>
      <w:r w:rsidR="00687D8C" w:rsidRPr="00086C43">
        <w:rPr>
          <w:vertAlign w:val="superscript"/>
          <w:lang w:val="en-GB"/>
        </w:rPr>
        <w:t>2</w:t>
      </w:r>
      <w:proofErr w:type="gramStart"/>
      <w:r w:rsidRPr="00086C43">
        <w:rPr>
          <w:vertAlign w:val="superscript"/>
          <w:lang w:val="en-GB"/>
        </w:rPr>
        <w:t>,</w:t>
      </w:r>
      <w:r w:rsidR="00A906B3">
        <w:rPr>
          <w:vertAlign w:val="superscript"/>
          <w:lang w:val="en-GB"/>
        </w:rPr>
        <w:t>3</w:t>
      </w:r>
      <w:proofErr w:type="gramEnd"/>
      <w:r w:rsidRPr="00086C43">
        <w:rPr>
          <w:lang w:val="en-GB"/>
        </w:rPr>
        <w:t>,</w:t>
      </w:r>
      <w:r w:rsidRPr="00236C85">
        <w:rPr>
          <w:lang w:val="en-GB"/>
        </w:rPr>
        <w:t xml:space="preserve"> </w:t>
      </w:r>
      <w:r w:rsidR="00E25D99" w:rsidRPr="00236C85">
        <w:rPr>
          <w:lang w:val="en-GB"/>
        </w:rPr>
        <w:t>Tobias Kowatsch</w:t>
      </w:r>
      <w:r w:rsidR="00A906B3">
        <w:rPr>
          <w:vertAlign w:val="superscript"/>
          <w:lang w:val="en-GB"/>
        </w:rPr>
        <w:t>2</w:t>
      </w:r>
      <w:r w:rsidR="00E25D99" w:rsidRPr="00236C85">
        <w:rPr>
          <w:lang w:val="en-GB"/>
        </w:rPr>
        <w:t>,</w:t>
      </w:r>
      <w:r w:rsidR="00E25D99">
        <w:rPr>
          <w:lang w:val="en-GB"/>
        </w:rPr>
        <w:t xml:space="preserve"> </w:t>
      </w:r>
      <w:r w:rsidRPr="00236C85">
        <w:rPr>
          <w:lang w:val="en-GB"/>
        </w:rPr>
        <w:t>Michael P Schaub</w:t>
      </w:r>
      <w:r w:rsidRPr="00236C85">
        <w:rPr>
          <w:vertAlign w:val="superscript"/>
          <w:lang w:val="en-GB"/>
        </w:rPr>
        <w:t>1</w:t>
      </w:r>
    </w:p>
    <w:p w14:paraId="7A4DE7E0" w14:textId="77777777" w:rsidR="005F2A62" w:rsidRPr="00236C85" w:rsidRDefault="005F2A62" w:rsidP="005F2A62">
      <w:pPr>
        <w:pStyle w:val="berschrift1"/>
        <w:jc w:val="left"/>
        <w:rPr>
          <w:rFonts w:cs="Times New Roman"/>
          <w:iCs/>
          <w:szCs w:val="24"/>
          <w:lang w:val="en-GB"/>
        </w:rPr>
      </w:pPr>
    </w:p>
    <w:p w14:paraId="19C57490" w14:textId="77777777" w:rsidR="005F2A62" w:rsidRPr="00236C85" w:rsidRDefault="005F2A62" w:rsidP="005F2A62">
      <w:pPr>
        <w:spacing w:line="480" w:lineRule="auto"/>
        <w:rPr>
          <w:lang w:val="en-GB"/>
        </w:rPr>
      </w:pPr>
      <w:r w:rsidRPr="00236C85">
        <w:rPr>
          <w:lang w:val="en-GB"/>
        </w:rPr>
        <w:t>*Corresponding author</w:t>
      </w:r>
    </w:p>
    <w:p w14:paraId="47157946" w14:textId="77777777" w:rsidR="005F2A62" w:rsidRPr="00236C85" w:rsidRDefault="005F2A62" w:rsidP="005F2A62">
      <w:pPr>
        <w:pStyle w:val="Kopfzeile"/>
        <w:rPr>
          <w:lang w:val="en-GB"/>
        </w:rPr>
      </w:pPr>
      <w:r w:rsidRPr="00236C85">
        <w:rPr>
          <w:vertAlign w:val="superscript"/>
          <w:lang w:val="en-GB"/>
        </w:rPr>
        <w:t>1</w:t>
      </w:r>
      <w:r w:rsidRPr="00236C85">
        <w:rPr>
          <w:lang w:val="en-GB"/>
        </w:rPr>
        <w:t xml:space="preserve">Swiss Research Institute for Public Health and Addiction at Zurich University, </w:t>
      </w:r>
      <w:proofErr w:type="spellStart"/>
      <w:r w:rsidRPr="00236C85">
        <w:rPr>
          <w:lang w:val="en-GB"/>
        </w:rPr>
        <w:t>Konradstrasse</w:t>
      </w:r>
      <w:proofErr w:type="spellEnd"/>
      <w:r w:rsidRPr="00236C85">
        <w:rPr>
          <w:lang w:val="en-GB"/>
        </w:rPr>
        <w:t xml:space="preserve"> 32, 8031 Zurich, Switzerland</w:t>
      </w:r>
    </w:p>
    <w:p w14:paraId="1DDA5EC7" w14:textId="77777777" w:rsidR="005F2A62" w:rsidRPr="00236C85" w:rsidRDefault="005F2A62" w:rsidP="005F2A62">
      <w:pPr>
        <w:pStyle w:val="Kopfzeile"/>
        <w:rPr>
          <w:lang w:val="en-GB"/>
        </w:rPr>
      </w:pPr>
      <w:r w:rsidRPr="00236C85">
        <w:rPr>
          <w:vertAlign w:val="superscript"/>
          <w:lang w:val="en-GB"/>
        </w:rPr>
        <w:t xml:space="preserve">2 </w:t>
      </w:r>
      <w:proofErr w:type="spellStart"/>
      <w:r w:rsidR="00A906B3">
        <w:rPr>
          <w:lang w:val="en-GB"/>
        </w:rPr>
        <w:t>Center</w:t>
      </w:r>
      <w:proofErr w:type="spellEnd"/>
      <w:r w:rsidR="00A906B3">
        <w:rPr>
          <w:lang w:val="en-GB"/>
        </w:rPr>
        <w:t xml:space="preserve"> for Digital Health Interventions, I</w:t>
      </w:r>
      <w:r w:rsidRPr="00236C85">
        <w:rPr>
          <w:lang w:val="en-GB"/>
        </w:rPr>
        <w:t xml:space="preserve">nstitute of Technology Management, University of St. </w:t>
      </w:r>
      <w:proofErr w:type="spellStart"/>
      <w:r w:rsidRPr="00236C85">
        <w:rPr>
          <w:lang w:val="en-GB"/>
        </w:rPr>
        <w:t>Gallen</w:t>
      </w:r>
      <w:proofErr w:type="spellEnd"/>
      <w:r w:rsidRPr="00236C85">
        <w:rPr>
          <w:lang w:val="en-GB"/>
        </w:rPr>
        <w:t xml:space="preserve">, </w:t>
      </w:r>
      <w:proofErr w:type="spellStart"/>
      <w:r w:rsidRPr="00236C85">
        <w:rPr>
          <w:lang w:val="en-GB"/>
        </w:rPr>
        <w:t>Dufourstrasse</w:t>
      </w:r>
      <w:proofErr w:type="spellEnd"/>
      <w:r w:rsidRPr="00236C85">
        <w:rPr>
          <w:lang w:val="en-GB"/>
        </w:rPr>
        <w:t xml:space="preserve"> 40a, 9000 St. </w:t>
      </w:r>
      <w:proofErr w:type="spellStart"/>
      <w:r w:rsidRPr="00236C85">
        <w:rPr>
          <w:lang w:val="en-GB"/>
        </w:rPr>
        <w:t>Gallen</w:t>
      </w:r>
      <w:proofErr w:type="spellEnd"/>
      <w:r w:rsidRPr="00236C85">
        <w:rPr>
          <w:lang w:val="en-GB"/>
        </w:rPr>
        <w:t>, Switzerland</w:t>
      </w:r>
    </w:p>
    <w:p w14:paraId="5D72C4CB" w14:textId="77777777" w:rsidR="005F2A62" w:rsidRPr="00392BAF" w:rsidRDefault="00A906B3" w:rsidP="005F2A62">
      <w:pPr>
        <w:widowControl w:val="0"/>
        <w:autoSpaceDE w:val="0"/>
        <w:autoSpaceDN w:val="0"/>
        <w:adjustRightInd w:val="0"/>
        <w:spacing w:line="480" w:lineRule="auto"/>
        <w:rPr>
          <w:highlight w:val="yellow"/>
          <w:lang w:val="en-GB" w:eastAsia="en-US"/>
        </w:rPr>
      </w:pPr>
      <w:r>
        <w:rPr>
          <w:vertAlign w:val="superscript"/>
          <w:lang w:val="en-GB"/>
        </w:rPr>
        <w:t>3</w:t>
      </w:r>
      <w:r w:rsidR="005F2A62" w:rsidRPr="00236C85">
        <w:rPr>
          <w:vertAlign w:val="superscript"/>
          <w:lang w:val="en-GB"/>
        </w:rPr>
        <w:t xml:space="preserve"> </w:t>
      </w:r>
      <w:r w:rsidR="00687D8C" w:rsidRPr="00392BAF">
        <w:rPr>
          <w:lang w:val="en-GB" w:eastAsia="en-US"/>
        </w:rPr>
        <w:t>Energy Efficient Systems Group, University of Bamberg</w:t>
      </w:r>
      <w:r w:rsidR="005F2A62" w:rsidRPr="005B19F5">
        <w:rPr>
          <w:lang w:val="en-GB" w:eastAsia="en-US"/>
        </w:rPr>
        <w:t xml:space="preserve">, </w:t>
      </w:r>
      <w:r w:rsidR="004954A7" w:rsidRPr="00392BAF">
        <w:rPr>
          <w:lang w:val="en-GB" w:eastAsia="en-US"/>
        </w:rPr>
        <w:t xml:space="preserve">An der </w:t>
      </w:r>
      <w:proofErr w:type="spellStart"/>
      <w:r w:rsidR="004954A7" w:rsidRPr="00392BAF">
        <w:rPr>
          <w:lang w:val="en-GB" w:eastAsia="en-US"/>
        </w:rPr>
        <w:t>Weberei</w:t>
      </w:r>
      <w:proofErr w:type="spellEnd"/>
      <w:r w:rsidR="004954A7" w:rsidRPr="00392BAF">
        <w:rPr>
          <w:lang w:val="en-GB" w:eastAsia="en-US"/>
        </w:rPr>
        <w:t xml:space="preserve"> 5, 96047 Bamberg</w:t>
      </w:r>
      <w:r w:rsidR="005F2A62" w:rsidRPr="005B19F5">
        <w:rPr>
          <w:lang w:val="en-GB" w:eastAsia="en-US"/>
        </w:rPr>
        <w:t>, Germany</w:t>
      </w:r>
    </w:p>
    <w:p w14:paraId="16F48B0C" w14:textId="77777777" w:rsidR="005F2A62" w:rsidRPr="00236C85" w:rsidRDefault="005F2A62" w:rsidP="005F2A62">
      <w:pPr>
        <w:widowControl w:val="0"/>
        <w:autoSpaceDE w:val="0"/>
        <w:autoSpaceDN w:val="0"/>
        <w:adjustRightInd w:val="0"/>
        <w:spacing w:line="480" w:lineRule="auto"/>
        <w:rPr>
          <w:lang w:val="en-GB" w:eastAsia="en-US"/>
        </w:rPr>
      </w:pPr>
    </w:p>
    <w:p w14:paraId="3E870308" w14:textId="65595AD8" w:rsidR="005F2A62" w:rsidRPr="00236C85" w:rsidRDefault="00D25470" w:rsidP="005F2A62">
      <w:pPr>
        <w:spacing w:line="480" w:lineRule="auto"/>
        <w:rPr>
          <w:lang w:val="en-GB"/>
        </w:rPr>
      </w:pPr>
      <w:r>
        <w:rPr>
          <w:lang w:val="en-GB"/>
        </w:rPr>
        <w:t>Author information</w:t>
      </w:r>
      <w:r w:rsidR="005F2A62" w:rsidRPr="00236C85">
        <w:rPr>
          <w:lang w:val="en-GB"/>
        </w:rPr>
        <w:t>:</w:t>
      </w:r>
    </w:p>
    <w:p w14:paraId="17335111" w14:textId="6BE577F4" w:rsidR="00D25470" w:rsidRDefault="005F2A62" w:rsidP="005F2A62">
      <w:pPr>
        <w:spacing w:line="480" w:lineRule="auto"/>
        <w:rPr>
          <w:lang w:val="en-GB"/>
        </w:rPr>
      </w:pPr>
      <w:r w:rsidRPr="00236C85">
        <w:rPr>
          <w:lang w:val="en-GB"/>
        </w:rPr>
        <w:t xml:space="preserve">Raquel Paz Castro: </w:t>
      </w:r>
      <w:r w:rsidR="00D25470">
        <w:rPr>
          <w:lang w:val="en-GB"/>
        </w:rPr>
        <w:t>+41 44 448 11 80, raquel.paz@isgf.uzh.ch</w:t>
      </w:r>
      <w:r w:rsidRPr="00236C85">
        <w:rPr>
          <w:lang w:val="en-GB"/>
        </w:rPr>
        <w:t>,</w:t>
      </w:r>
    </w:p>
    <w:p w14:paraId="5C8C222C" w14:textId="26B9AA2E" w:rsidR="005F2A62" w:rsidRPr="00236C85" w:rsidRDefault="005F2A62" w:rsidP="005F2A62">
      <w:pPr>
        <w:spacing w:line="480" w:lineRule="auto"/>
        <w:rPr>
          <w:lang w:val="en-GB"/>
        </w:rPr>
      </w:pPr>
      <w:proofErr w:type="spellStart"/>
      <w:r w:rsidRPr="00236C85">
        <w:rPr>
          <w:lang w:val="en-GB"/>
        </w:rPr>
        <w:t>Severin</w:t>
      </w:r>
      <w:proofErr w:type="spellEnd"/>
      <w:r w:rsidRPr="00236C85">
        <w:rPr>
          <w:lang w:val="en-GB"/>
        </w:rPr>
        <w:t xml:space="preserve"> </w:t>
      </w:r>
      <w:proofErr w:type="spellStart"/>
      <w:r w:rsidRPr="00236C85">
        <w:rPr>
          <w:lang w:val="en-GB"/>
        </w:rPr>
        <w:t>Haug</w:t>
      </w:r>
      <w:proofErr w:type="spellEnd"/>
      <w:r w:rsidRPr="00236C85">
        <w:rPr>
          <w:lang w:val="en-GB"/>
        </w:rPr>
        <w:t>: severin.haug@isgf.uzh.ch,</w:t>
      </w:r>
    </w:p>
    <w:p w14:paraId="05049F66" w14:textId="77777777" w:rsidR="001B4562" w:rsidRPr="001B4562" w:rsidRDefault="005F2A62" w:rsidP="005F2A62">
      <w:pPr>
        <w:spacing w:line="480" w:lineRule="auto"/>
        <w:rPr>
          <w:lang w:val="en-GB"/>
        </w:rPr>
      </w:pPr>
      <w:r w:rsidRPr="001B4562">
        <w:rPr>
          <w:lang w:val="en-GB"/>
        </w:rPr>
        <w:t>Andreas Filler: a</w:t>
      </w:r>
      <w:r w:rsidR="00CF184D" w:rsidRPr="001B4562">
        <w:rPr>
          <w:lang w:val="en-GB"/>
        </w:rPr>
        <w:t>ndreas.</w:t>
      </w:r>
      <w:r w:rsidRPr="001B4562">
        <w:rPr>
          <w:lang w:val="en-GB"/>
        </w:rPr>
        <w:t>filler@</w:t>
      </w:r>
      <w:r w:rsidR="00CF184D" w:rsidRPr="001B4562">
        <w:rPr>
          <w:lang w:val="en-GB"/>
        </w:rPr>
        <w:t>unisg</w:t>
      </w:r>
      <w:r w:rsidRPr="001B4562">
        <w:rPr>
          <w:lang w:val="en-GB"/>
        </w:rPr>
        <w:t xml:space="preserve">.ch, </w:t>
      </w:r>
    </w:p>
    <w:p w14:paraId="23C00405" w14:textId="77777777" w:rsidR="001B4562" w:rsidRDefault="001B4562" w:rsidP="005F2A62">
      <w:pPr>
        <w:spacing w:line="480" w:lineRule="auto"/>
      </w:pPr>
      <w:r w:rsidRPr="007E4D33">
        <w:t xml:space="preserve">Tobias </w:t>
      </w:r>
      <w:proofErr w:type="spellStart"/>
      <w:r w:rsidRPr="007E4D33">
        <w:t>Kowatsch</w:t>
      </w:r>
      <w:proofErr w:type="spellEnd"/>
      <w:r w:rsidRPr="007E4D33">
        <w:t xml:space="preserve">: tobias.kowatsch@unisg.ch, </w:t>
      </w:r>
    </w:p>
    <w:p w14:paraId="0707CAC7" w14:textId="1866F947" w:rsidR="005F2A62" w:rsidRPr="007E4D33" w:rsidRDefault="005F2A62" w:rsidP="005F2A62">
      <w:pPr>
        <w:spacing w:line="480" w:lineRule="auto"/>
      </w:pPr>
      <w:bookmarkStart w:id="0" w:name="_GoBack"/>
      <w:bookmarkEnd w:id="0"/>
      <w:r w:rsidRPr="007E4D33">
        <w:t>Michael P</w:t>
      </w:r>
      <w:r w:rsidR="001C1B29" w:rsidRPr="007E4D33">
        <w:t>.</w:t>
      </w:r>
      <w:r w:rsidRPr="007E4D33">
        <w:t xml:space="preserve"> Schaub: michael.schaub@isgf.uzh.ch </w:t>
      </w:r>
    </w:p>
    <w:p w14:paraId="50FAF122" w14:textId="77777777" w:rsidR="005F2A62" w:rsidRPr="007E4D33" w:rsidRDefault="005F2A62"/>
    <w:p w14:paraId="46019213" w14:textId="77777777" w:rsidR="0063589D" w:rsidRPr="007E4D33" w:rsidRDefault="0063589D">
      <w:pPr>
        <w:rPr>
          <w:b/>
        </w:rPr>
      </w:pPr>
      <w:r w:rsidRPr="007E4D33">
        <w:rPr>
          <w:b/>
        </w:rPr>
        <w:br w:type="page"/>
      </w:r>
    </w:p>
    <w:p w14:paraId="454DABE2" w14:textId="77777777" w:rsidR="004803A3" w:rsidRPr="002840A4" w:rsidRDefault="004803A3" w:rsidP="003D356B">
      <w:pPr>
        <w:spacing w:line="480" w:lineRule="auto"/>
        <w:jc w:val="center"/>
        <w:rPr>
          <w:lang w:val="en-GB"/>
        </w:rPr>
      </w:pPr>
      <w:r w:rsidRPr="002840A4">
        <w:rPr>
          <w:lang w:val="en-GB"/>
        </w:rPr>
        <w:lastRenderedPageBreak/>
        <w:t>Abstract</w:t>
      </w:r>
    </w:p>
    <w:p w14:paraId="4FC7D3CB" w14:textId="77777777" w:rsidR="009D76AA" w:rsidRPr="009D76AA" w:rsidRDefault="009D76AA" w:rsidP="009D76AA">
      <w:pPr>
        <w:spacing w:line="480" w:lineRule="auto"/>
        <w:rPr>
          <w:lang w:val="en-GB"/>
        </w:rPr>
      </w:pPr>
      <w:r w:rsidRPr="009D76AA">
        <w:rPr>
          <w:lang w:val="en-GB"/>
        </w:rPr>
        <w:t xml:space="preserve">Background: Although mobile phone-delivered smoking cessation programs </w:t>
      </w:r>
      <w:r w:rsidR="00D77E1B">
        <w:rPr>
          <w:lang w:val="en-GB"/>
        </w:rPr>
        <w:t xml:space="preserve">are </w:t>
      </w:r>
      <w:r w:rsidR="00430B1B">
        <w:rPr>
          <w:lang w:val="en-GB"/>
        </w:rPr>
        <w:t xml:space="preserve">a </w:t>
      </w:r>
      <w:r w:rsidR="00D77E1B">
        <w:rPr>
          <w:lang w:val="en-GB"/>
        </w:rPr>
        <w:t xml:space="preserve">promising </w:t>
      </w:r>
      <w:r w:rsidR="00430B1B">
        <w:rPr>
          <w:lang w:val="en-GB"/>
        </w:rPr>
        <w:t xml:space="preserve">way </w:t>
      </w:r>
      <w:r w:rsidR="00D77E1B">
        <w:rPr>
          <w:lang w:val="en-GB"/>
        </w:rPr>
        <w:t xml:space="preserve">to promote smoking cessation among adolescents, </w:t>
      </w:r>
      <w:r w:rsidR="00AC43A4">
        <w:rPr>
          <w:lang w:val="en-GB"/>
        </w:rPr>
        <w:t xml:space="preserve">little is known about </w:t>
      </w:r>
      <w:r w:rsidR="00430B1B">
        <w:rPr>
          <w:lang w:val="en-GB"/>
        </w:rPr>
        <w:t>how</w:t>
      </w:r>
      <w:r w:rsidR="00E70E70">
        <w:rPr>
          <w:lang w:val="en-GB"/>
        </w:rPr>
        <w:t xml:space="preserve"> </w:t>
      </w:r>
      <w:r w:rsidR="00D0573C">
        <w:rPr>
          <w:lang w:val="en-GB"/>
        </w:rPr>
        <w:t xml:space="preserve">adolescents might actually </w:t>
      </w:r>
      <w:r w:rsidR="00E70E70">
        <w:rPr>
          <w:lang w:val="en-GB"/>
        </w:rPr>
        <w:t>use</w:t>
      </w:r>
      <w:r w:rsidR="00D0573C">
        <w:rPr>
          <w:lang w:val="en-GB"/>
        </w:rPr>
        <w:t xml:space="preserve"> them</w:t>
      </w:r>
      <w:r w:rsidR="00E70E70">
        <w:rPr>
          <w:lang w:val="en-GB"/>
        </w:rPr>
        <w:t>.</w:t>
      </w:r>
    </w:p>
    <w:p w14:paraId="4014F2A8" w14:textId="77777777" w:rsidR="009067F1" w:rsidRDefault="009067F1" w:rsidP="009D76AA">
      <w:pPr>
        <w:spacing w:line="480" w:lineRule="auto"/>
        <w:rPr>
          <w:lang w:val="en-GB"/>
        </w:rPr>
      </w:pPr>
      <w:r>
        <w:rPr>
          <w:lang w:val="en-GB"/>
        </w:rPr>
        <w:t>Objective</w:t>
      </w:r>
      <w:r w:rsidR="00430B1B">
        <w:rPr>
          <w:lang w:val="en-GB"/>
        </w:rPr>
        <w:t>s</w:t>
      </w:r>
      <w:r>
        <w:rPr>
          <w:lang w:val="en-GB"/>
        </w:rPr>
        <w:t xml:space="preserve">: </w:t>
      </w:r>
      <w:r w:rsidR="00ED5981">
        <w:rPr>
          <w:lang w:val="en-GB"/>
        </w:rPr>
        <w:t xml:space="preserve">To determine </w:t>
      </w:r>
      <w:r w:rsidR="00D0573C">
        <w:rPr>
          <w:lang w:val="en-GB"/>
        </w:rPr>
        <w:t xml:space="preserve">adolescents’ </w:t>
      </w:r>
      <w:r w:rsidR="00885BB3">
        <w:rPr>
          <w:lang w:val="en-GB"/>
        </w:rPr>
        <w:t xml:space="preserve">trajectories </w:t>
      </w:r>
      <w:r w:rsidR="00ED5981">
        <w:rPr>
          <w:lang w:val="en-GB"/>
        </w:rPr>
        <w:t>of engagement with a mobile phone-delivered smoking cessation program over time</w:t>
      </w:r>
      <w:r>
        <w:rPr>
          <w:lang w:val="en-GB"/>
        </w:rPr>
        <w:t xml:space="preserve">, and the associations </w:t>
      </w:r>
      <w:r w:rsidR="00D0573C">
        <w:rPr>
          <w:lang w:val="en-GB"/>
        </w:rPr>
        <w:t xml:space="preserve">these trajectories have </w:t>
      </w:r>
      <w:r>
        <w:rPr>
          <w:lang w:val="en-GB"/>
        </w:rPr>
        <w:t>with baseline characteristics and treatment outcomes.</w:t>
      </w:r>
    </w:p>
    <w:p w14:paraId="7EADDDAF" w14:textId="4AE508E1" w:rsidR="009D76AA" w:rsidRPr="009D76AA" w:rsidRDefault="009D76AA" w:rsidP="009D76AA">
      <w:pPr>
        <w:spacing w:line="480" w:lineRule="auto"/>
        <w:rPr>
          <w:lang w:val="en-GB"/>
        </w:rPr>
      </w:pPr>
      <w:r w:rsidRPr="009D76AA">
        <w:rPr>
          <w:lang w:val="en-GB"/>
        </w:rPr>
        <w:t>Methods: We performed secondary data analysis on a dataset from a study that compared a</w:t>
      </w:r>
      <w:r w:rsidR="00786017">
        <w:rPr>
          <w:lang w:val="en-GB"/>
        </w:rPr>
        <w:t xml:space="preserve"> </w:t>
      </w:r>
      <w:r w:rsidRPr="009D76AA">
        <w:rPr>
          <w:lang w:val="en-GB"/>
        </w:rPr>
        <w:t xml:space="preserve">mobile phone-delivered integrated smoking cessation and alcohol intervention to a smoking cessation only intervention for adolescents </w:t>
      </w:r>
      <w:r w:rsidR="00965B22">
        <w:rPr>
          <w:lang w:val="en-GB"/>
        </w:rPr>
        <w:t xml:space="preserve">recruited in </w:t>
      </w:r>
      <w:r w:rsidR="00965B22" w:rsidRPr="00965B22">
        <w:rPr>
          <w:lang w:val="en-GB"/>
        </w:rPr>
        <w:t xml:space="preserve">vocational and upper secondary </w:t>
      </w:r>
      <w:r w:rsidR="00965B22">
        <w:rPr>
          <w:lang w:val="en-GB"/>
        </w:rPr>
        <w:t xml:space="preserve">school classes </w:t>
      </w:r>
      <w:r w:rsidRPr="009D76AA">
        <w:rPr>
          <w:lang w:val="en-GB"/>
        </w:rPr>
        <w:t xml:space="preserve">(N= 1418). </w:t>
      </w:r>
      <w:r w:rsidR="00D0573C">
        <w:rPr>
          <w:lang w:val="en-GB"/>
        </w:rPr>
        <w:t xml:space="preserve">Throughout </w:t>
      </w:r>
      <w:r w:rsidRPr="009D76AA">
        <w:rPr>
          <w:lang w:val="en-GB"/>
        </w:rPr>
        <w:t>the three</w:t>
      </w:r>
      <w:r w:rsidR="00D0573C">
        <w:rPr>
          <w:lang w:val="en-GB"/>
        </w:rPr>
        <w:t>-</w:t>
      </w:r>
      <w:r w:rsidRPr="009D76AA">
        <w:rPr>
          <w:lang w:val="en-GB"/>
        </w:rPr>
        <w:t xml:space="preserve">month intervention, participants in both intervention groups received one text message prompt per week that either assessed smoking-related target behaviours or encouraged participation in a quiz or a message contest. Sequence analyses were performed to identify </w:t>
      </w:r>
      <w:r w:rsidR="009067F1">
        <w:rPr>
          <w:lang w:val="en-GB"/>
        </w:rPr>
        <w:t>engagement</w:t>
      </w:r>
      <w:r w:rsidRPr="009D76AA">
        <w:rPr>
          <w:lang w:val="en-GB"/>
        </w:rPr>
        <w:t xml:space="preserve"> trajectories. </w:t>
      </w:r>
      <w:r w:rsidR="00AC43A4">
        <w:rPr>
          <w:lang w:val="en-GB"/>
        </w:rPr>
        <w:t>A</w:t>
      </w:r>
      <w:r w:rsidRPr="009D76AA">
        <w:rPr>
          <w:lang w:val="en-GB"/>
        </w:rPr>
        <w:t xml:space="preserve">nalyses were conducted to identify predictors of </w:t>
      </w:r>
      <w:r w:rsidR="009067F1">
        <w:rPr>
          <w:lang w:val="en-GB"/>
        </w:rPr>
        <w:t>engagement</w:t>
      </w:r>
      <w:r w:rsidRPr="009D76AA">
        <w:rPr>
          <w:lang w:val="en-GB"/>
        </w:rPr>
        <w:t xml:space="preserve"> trajector</w:t>
      </w:r>
      <w:r w:rsidR="00D0573C">
        <w:rPr>
          <w:lang w:val="en-GB"/>
        </w:rPr>
        <w:t>y</w:t>
      </w:r>
      <w:r w:rsidR="009067F1">
        <w:rPr>
          <w:lang w:val="en-GB"/>
        </w:rPr>
        <w:t xml:space="preserve"> and associations between engagement trajectories and treatment outcomes</w:t>
      </w:r>
      <w:r w:rsidRPr="009D76AA">
        <w:rPr>
          <w:lang w:val="en-GB"/>
        </w:rPr>
        <w:t xml:space="preserve">. </w:t>
      </w:r>
    </w:p>
    <w:p w14:paraId="6F1E8DCA" w14:textId="3CBFB36C" w:rsidR="009D76AA" w:rsidRPr="005C0302" w:rsidRDefault="009067F1" w:rsidP="009D76AA">
      <w:pPr>
        <w:spacing w:line="480" w:lineRule="auto"/>
        <w:rPr>
          <w:highlight w:val="yellow"/>
          <w:lang w:val="en-GB"/>
        </w:rPr>
      </w:pPr>
      <w:r>
        <w:rPr>
          <w:lang w:val="en-GB"/>
        </w:rPr>
        <w:t>Results</w:t>
      </w:r>
      <w:r w:rsidR="009D76AA" w:rsidRPr="009D76AA">
        <w:rPr>
          <w:lang w:val="en-GB"/>
        </w:rPr>
        <w:t xml:space="preserve">: Three </w:t>
      </w:r>
      <w:r>
        <w:rPr>
          <w:lang w:val="en-GB"/>
        </w:rPr>
        <w:t xml:space="preserve">engagement </w:t>
      </w:r>
      <w:r w:rsidR="009D76AA" w:rsidRPr="009D76AA">
        <w:rPr>
          <w:lang w:val="en-GB"/>
        </w:rPr>
        <w:t xml:space="preserve">trajectories emerged: </w:t>
      </w:r>
      <w:r w:rsidR="00D0573C">
        <w:rPr>
          <w:lang w:val="en-GB"/>
        </w:rPr>
        <w:t>(</w:t>
      </w:r>
      <w:r w:rsidR="009D76AA" w:rsidRPr="009D76AA">
        <w:rPr>
          <w:lang w:val="en-GB"/>
        </w:rPr>
        <w:t xml:space="preserve">1) stable </w:t>
      </w:r>
      <w:r>
        <w:rPr>
          <w:lang w:val="en-GB"/>
        </w:rPr>
        <w:t>engagement</w:t>
      </w:r>
      <w:r w:rsidR="009D76AA" w:rsidRPr="009D76AA">
        <w:rPr>
          <w:lang w:val="en-GB"/>
        </w:rPr>
        <w:t xml:space="preserve"> (n= 646, 45.6%), </w:t>
      </w:r>
      <w:r w:rsidR="00D0573C">
        <w:rPr>
          <w:lang w:val="en-GB"/>
        </w:rPr>
        <w:t>(</w:t>
      </w:r>
      <w:r w:rsidR="009D76AA" w:rsidRPr="009D76AA">
        <w:rPr>
          <w:lang w:val="en-GB"/>
        </w:rPr>
        <w:t xml:space="preserve">2) decreasing </w:t>
      </w:r>
      <w:r>
        <w:rPr>
          <w:lang w:val="en-GB"/>
        </w:rPr>
        <w:t>engagement</w:t>
      </w:r>
      <w:r w:rsidR="009D76AA" w:rsidRPr="009D76AA">
        <w:rPr>
          <w:lang w:val="en-GB"/>
        </w:rPr>
        <w:t xml:space="preserve"> (n=501, 35.3%), and </w:t>
      </w:r>
      <w:r w:rsidR="00D0573C">
        <w:rPr>
          <w:lang w:val="en-GB"/>
        </w:rPr>
        <w:t>(</w:t>
      </w:r>
      <w:r w:rsidR="009D76AA" w:rsidRPr="009D76AA">
        <w:rPr>
          <w:lang w:val="en-GB"/>
        </w:rPr>
        <w:t>3) stable non</w:t>
      </w:r>
      <w:r>
        <w:rPr>
          <w:lang w:val="en-GB"/>
        </w:rPr>
        <w:t>-engagement</w:t>
      </w:r>
      <w:r w:rsidR="009D76AA" w:rsidRPr="009D76AA">
        <w:rPr>
          <w:lang w:val="en-GB"/>
        </w:rPr>
        <w:t xml:space="preserve"> (n=271, 19.1%). Adolescents who were younger, had no immigra</w:t>
      </w:r>
      <w:r w:rsidR="00D0573C">
        <w:rPr>
          <w:lang w:val="en-GB"/>
        </w:rPr>
        <w:t>nt</w:t>
      </w:r>
      <w:r w:rsidR="009D76AA" w:rsidRPr="009D76AA">
        <w:rPr>
          <w:lang w:val="en-GB"/>
        </w:rPr>
        <w:t xml:space="preserve"> background, </w:t>
      </w:r>
      <w:r w:rsidR="00D0573C">
        <w:rPr>
          <w:lang w:val="en-GB"/>
        </w:rPr>
        <w:t>perceived</w:t>
      </w:r>
      <w:r w:rsidR="009D76AA" w:rsidRPr="009D76AA">
        <w:rPr>
          <w:lang w:val="en-GB"/>
        </w:rPr>
        <w:t xml:space="preserve"> more benefits of quitting smoking</w:t>
      </w:r>
      <w:r w:rsidR="00430B1B">
        <w:rPr>
          <w:lang w:val="en-GB"/>
        </w:rPr>
        <w:t>,</w:t>
      </w:r>
      <w:r w:rsidR="009D76AA" w:rsidRPr="009D76AA">
        <w:rPr>
          <w:lang w:val="en-GB"/>
        </w:rPr>
        <w:t xml:space="preserve"> and reported binge drinking preceding the baseline assessment were more likely to </w:t>
      </w:r>
      <w:r w:rsidR="00430B1B">
        <w:rPr>
          <w:lang w:val="en-GB"/>
        </w:rPr>
        <w:t xml:space="preserve">exhibit </w:t>
      </w:r>
      <w:r w:rsidR="00305A0D">
        <w:rPr>
          <w:lang w:val="en-GB"/>
        </w:rPr>
        <w:t>stable</w:t>
      </w:r>
      <w:r w:rsidR="009D76AA" w:rsidRPr="009D76AA">
        <w:rPr>
          <w:lang w:val="en-GB"/>
        </w:rPr>
        <w:t xml:space="preserve"> </w:t>
      </w:r>
      <w:r w:rsidR="00305A0D">
        <w:rPr>
          <w:lang w:val="en-GB"/>
        </w:rPr>
        <w:t>engagement</w:t>
      </w:r>
      <w:r w:rsidR="009D76AA" w:rsidRPr="009D76AA">
        <w:rPr>
          <w:lang w:val="en-GB"/>
        </w:rPr>
        <w:t xml:space="preserve">. </w:t>
      </w:r>
      <w:r w:rsidR="004A4D39" w:rsidRPr="004A4D39">
        <w:rPr>
          <w:lang w:val="en-GB"/>
        </w:rPr>
        <w:t xml:space="preserve">Due to different reach of more engaged and less engaged participants at follow-up, three statistical models (complete-cases, </w:t>
      </w:r>
      <w:r w:rsidR="00FC29FC">
        <w:rPr>
          <w:lang w:val="en-GB"/>
        </w:rPr>
        <w:t>last-observation-carried-forward</w:t>
      </w:r>
      <w:r w:rsidR="004A4D39" w:rsidRPr="004A4D39">
        <w:rPr>
          <w:lang w:val="en-GB"/>
        </w:rPr>
        <w:t>, and multiple imputation) for the associations of engagement trajectory and smoking outcome were tested. For 7-point smoking abstinence, no association revealed significant over all three models.</w:t>
      </w:r>
      <w:r w:rsidR="004574BA" w:rsidRPr="004A4D39">
        <w:rPr>
          <w:lang w:val="en-GB"/>
        </w:rPr>
        <w:t xml:space="preserve"> However, decreasing engagement with the program was associated</w:t>
      </w:r>
      <w:r w:rsidR="004A4D39" w:rsidRPr="004A4D39">
        <w:rPr>
          <w:lang w:val="en-GB"/>
        </w:rPr>
        <w:t xml:space="preserve"> over all three models</w:t>
      </w:r>
      <w:r w:rsidR="004574BA" w:rsidRPr="004A4D39">
        <w:rPr>
          <w:lang w:val="en-GB"/>
        </w:rPr>
        <w:t xml:space="preserve"> with </w:t>
      </w:r>
      <w:r w:rsidR="00430B1B" w:rsidRPr="004A4D39">
        <w:rPr>
          <w:lang w:val="en-GB"/>
        </w:rPr>
        <w:t>greater</w:t>
      </w:r>
      <w:r w:rsidR="004574BA" w:rsidRPr="004A4D39">
        <w:rPr>
          <w:lang w:val="en-GB"/>
        </w:rPr>
        <w:t xml:space="preserve"> reduction</w:t>
      </w:r>
      <w:r w:rsidR="00430B1B" w:rsidRPr="004A4D39">
        <w:rPr>
          <w:lang w:val="en-GB"/>
        </w:rPr>
        <w:t>s</w:t>
      </w:r>
      <w:r w:rsidR="004574BA" w:rsidRPr="004A4D39">
        <w:rPr>
          <w:lang w:val="en-GB"/>
        </w:rPr>
        <w:t xml:space="preserve"> in daily tobacco use than </w:t>
      </w:r>
      <w:r w:rsidR="00FA6323" w:rsidRPr="004A4D39">
        <w:rPr>
          <w:lang w:val="en-GB"/>
        </w:rPr>
        <w:t>non-</w:t>
      </w:r>
      <w:r w:rsidR="004574BA" w:rsidRPr="004A4D39">
        <w:rPr>
          <w:lang w:val="en-GB"/>
        </w:rPr>
        <w:t xml:space="preserve">engagement.  </w:t>
      </w:r>
    </w:p>
    <w:p w14:paraId="02326B1C" w14:textId="19ABD8CF" w:rsidR="009D76AA" w:rsidRDefault="009067F1" w:rsidP="00E0621D">
      <w:pPr>
        <w:spacing w:line="480" w:lineRule="auto"/>
        <w:rPr>
          <w:lang w:val="en-GB"/>
        </w:rPr>
      </w:pPr>
      <w:r w:rsidRPr="004A4D39">
        <w:rPr>
          <w:lang w:val="en-GB"/>
        </w:rPr>
        <w:lastRenderedPageBreak/>
        <w:t>Conclusions</w:t>
      </w:r>
      <w:r w:rsidR="009D76AA" w:rsidRPr="004A4D39">
        <w:rPr>
          <w:lang w:val="en-GB"/>
        </w:rPr>
        <w:t xml:space="preserve">: </w:t>
      </w:r>
      <w:r w:rsidRPr="004A4D39">
        <w:rPr>
          <w:lang w:val="en-GB"/>
        </w:rPr>
        <w:t xml:space="preserve">The majority of </w:t>
      </w:r>
      <w:r w:rsidR="00FE633A" w:rsidRPr="004A4D39">
        <w:rPr>
          <w:lang w:val="en-GB"/>
        </w:rPr>
        <w:t>tobacco</w:t>
      </w:r>
      <w:r w:rsidR="00D0573C" w:rsidRPr="004A4D39">
        <w:rPr>
          <w:lang w:val="en-GB"/>
        </w:rPr>
        <w:t>-</w:t>
      </w:r>
      <w:r w:rsidR="00FE633A" w:rsidRPr="004A4D39">
        <w:rPr>
          <w:lang w:val="en-GB"/>
        </w:rPr>
        <w:t xml:space="preserve">smoking </w:t>
      </w:r>
      <w:r w:rsidRPr="004A4D39">
        <w:rPr>
          <w:lang w:val="en-GB"/>
        </w:rPr>
        <w:t xml:space="preserve">adolescents engaged </w:t>
      </w:r>
      <w:r w:rsidR="00D0573C" w:rsidRPr="004A4D39">
        <w:rPr>
          <w:lang w:val="en-GB"/>
        </w:rPr>
        <w:t xml:space="preserve">extensively </w:t>
      </w:r>
      <w:r w:rsidRPr="004A4D39">
        <w:rPr>
          <w:lang w:val="en-GB"/>
        </w:rPr>
        <w:t xml:space="preserve">with a mobile phone-based </w:t>
      </w:r>
      <w:r w:rsidR="004574BA" w:rsidRPr="004A4D39">
        <w:rPr>
          <w:lang w:val="en-GB"/>
        </w:rPr>
        <w:t>smoking</w:t>
      </w:r>
      <w:r w:rsidR="00D0573C" w:rsidRPr="004A4D39">
        <w:rPr>
          <w:lang w:val="en-GB"/>
        </w:rPr>
        <w:t>-</w:t>
      </w:r>
      <w:r w:rsidR="004574BA" w:rsidRPr="004A4D39">
        <w:rPr>
          <w:lang w:val="en-GB"/>
        </w:rPr>
        <w:t xml:space="preserve">cessation </w:t>
      </w:r>
      <w:r w:rsidRPr="004A4D39">
        <w:rPr>
          <w:lang w:val="en-GB"/>
        </w:rPr>
        <w:t xml:space="preserve">program. </w:t>
      </w:r>
      <w:r w:rsidR="009D76AA" w:rsidRPr="004A4D39">
        <w:rPr>
          <w:lang w:val="en-GB"/>
        </w:rPr>
        <w:t xml:space="preserve">However, </w:t>
      </w:r>
      <w:r w:rsidR="004574BA" w:rsidRPr="004A4D39">
        <w:rPr>
          <w:lang w:val="en-GB"/>
        </w:rPr>
        <w:t xml:space="preserve">not only stable engagement, but also </w:t>
      </w:r>
      <w:r w:rsidR="009D76AA" w:rsidRPr="004A4D39">
        <w:rPr>
          <w:lang w:val="en-GB"/>
        </w:rPr>
        <w:t xml:space="preserve">decreasing engagement with </w:t>
      </w:r>
      <w:r w:rsidRPr="004A4D39">
        <w:rPr>
          <w:lang w:val="en-GB"/>
        </w:rPr>
        <w:t>a</w:t>
      </w:r>
      <w:r w:rsidR="009D76AA" w:rsidRPr="004A4D39">
        <w:rPr>
          <w:lang w:val="en-GB"/>
        </w:rPr>
        <w:t xml:space="preserve"> program might be </w:t>
      </w:r>
      <w:r w:rsidR="004574BA" w:rsidRPr="004A4D39">
        <w:rPr>
          <w:lang w:val="en-GB"/>
        </w:rPr>
        <w:t>an</w:t>
      </w:r>
      <w:r w:rsidR="009D76AA" w:rsidRPr="004A4D39">
        <w:rPr>
          <w:lang w:val="en-GB"/>
        </w:rPr>
        <w:t xml:space="preserve"> indicator of </w:t>
      </w:r>
      <w:r w:rsidRPr="004A4D39">
        <w:rPr>
          <w:lang w:val="en-GB"/>
        </w:rPr>
        <w:t>behaviour</w:t>
      </w:r>
      <w:r w:rsidR="00430B1B" w:rsidRPr="004A4D39">
        <w:rPr>
          <w:lang w:val="en-GB"/>
        </w:rPr>
        <w:t>al</w:t>
      </w:r>
      <w:r w:rsidR="009D76AA" w:rsidRPr="004A4D39">
        <w:rPr>
          <w:lang w:val="en-GB"/>
        </w:rPr>
        <w:t xml:space="preserve"> change. </w:t>
      </w:r>
      <w:r w:rsidR="00FE633A" w:rsidRPr="004A4D39">
        <w:rPr>
          <w:lang w:val="en-GB"/>
        </w:rPr>
        <w:t>Measures t</w:t>
      </w:r>
      <w:r w:rsidR="00305A0D" w:rsidRPr="004A4D39">
        <w:rPr>
          <w:lang w:val="en-GB"/>
        </w:rPr>
        <w:t>o</w:t>
      </w:r>
      <w:r w:rsidR="00BB3A29" w:rsidRPr="004A4D39">
        <w:rPr>
          <w:lang w:val="en-GB"/>
        </w:rPr>
        <w:t xml:space="preserve"> avoid non-engagement</w:t>
      </w:r>
      <w:r w:rsidR="00305A0D" w:rsidRPr="004A4D39">
        <w:rPr>
          <w:lang w:val="en-GB"/>
        </w:rPr>
        <w:t xml:space="preserve"> </w:t>
      </w:r>
      <w:r w:rsidR="00D0573C" w:rsidRPr="004A4D39">
        <w:rPr>
          <w:lang w:val="en-GB"/>
        </w:rPr>
        <w:t>appear especially necessary</w:t>
      </w:r>
      <w:r w:rsidR="00FE633A" w:rsidRPr="004A4D39">
        <w:rPr>
          <w:lang w:val="en-GB"/>
        </w:rPr>
        <w:t xml:space="preserve"> for </w:t>
      </w:r>
      <w:r w:rsidR="00786017">
        <w:rPr>
          <w:lang w:val="en-GB"/>
        </w:rPr>
        <w:t>older</w:t>
      </w:r>
      <w:r w:rsidR="00B967EC" w:rsidRPr="004A4D39">
        <w:rPr>
          <w:lang w:val="en-GB"/>
        </w:rPr>
        <w:t xml:space="preserve"> smokers</w:t>
      </w:r>
      <w:r w:rsidR="00FE633A" w:rsidRPr="004A4D39">
        <w:rPr>
          <w:lang w:val="en-GB"/>
        </w:rPr>
        <w:t xml:space="preserve"> </w:t>
      </w:r>
      <w:r w:rsidR="009C2505" w:rsidRPr="004A4D39">
        <w:rPr>
          <w:lang w:val="en-GB"/>
        </w:rPr>
        <w:t>with an immigra</w:t>
      </w:r>
      <w:r w:rsidR="00430B1B" w:rsidRPr="004A4D39">
        <w:rPr>
          <w:lang w:val="en-GB"/>
        </w:rPr>
        <w:t>nt</w:t>
      </w:r>
      <w:r w:rsidR="009C2505" w:rsidRPr="004A4D39">
        <w:rPr>
          <w:lang w:val="en-GB"/>
        </w:rPr>
        <w:t xml:space="preserve"> background</w:t>
      </w:r>
      <w:r w:rsidR="00B967EC" w:rsidRPr="004A4D39">
        <w:rPr>
          <w:lang w:val="en-GB"/>
        </w:rPr>
        <w:t xml:space="preserve"> who do not drink excessively</w:t>
      </w:r>
      <w:r w:rsidR="009C2505" w:rsidRPr="004A4D39">
        <w:rPr>
          <w:lang w:val="en-GB"/>
        </w:rPr>
        <w:t>.</w:t>
      </w:r>
      <w:r w:rsidR="004A4D39">
        <w:rPr>
          <w:lang w:val="en-GB"/>
        </w:rPr>
        <w:t xml:space="preserve"> </w:t>
      </w:r>
      <w:r w:rsidR="004A4D39" w:rsidRPr="00FA6323">
        <w:rPr>
          <w:lang w:val="en-GB"/>
        </w:rPr>
        <w:t>In addition, future studies should not only examine the use of specific program components, but also users’ engagement trajectories to better understand the mechanisms behind behavioural change.</w:t>
      </w:r>
      <w:r w:rsidR="004A4D39">
        <w:rPr>
          <w:lang w:val="en-GB"/>
        </w:rPr>
        <w:t xml:space="preserve">  </w:t>
      </w:r>
    </w:p>
    <w:p w14:paraId="6343B3DD" w14:textId="77777777" w:rsidR="00305A0D" w:rsidRDefault="00305A0D" w:rsidP="009D76AA">
      <w:pPr>
        <w:spacing w:line="480" w:lineRule="auto"/>
        <w:rPr>
          <w:b/>
          <w:lang w:val="en-GB"/>
        </w:rPr>
      </w:pPr>
    </w:p>
    <w:p w14:paraId="375802F3" w14:textId="77777777" w:rsidR="009D76AA" w:rsidRPr="00E70E70" w:rsidRDefault="009D76AA" w:rsidP="009D76AA">
      <w:pPr>
        <w:spacing w:line="480" w:lineRule="auto"/>
        <w:rPr>
          <w:lang w:val="en-GB"/>
        </w:rPr>
      </w:pPr>
      <w:r w:rsidRPr="00E70E70">
        <w:rPr>
          <w:b/>
          <w:lang w:val="en-GB"/>
        </w:rPr>
        <w:t>Keywords</w:t>
      </w:r>
      <w:r w:rsidRPr="00E70E70">
        <w:rPr>
          <w:lang w:val="en-GB"/>
        </w:rPr>
        <w:t xml:space="preserve">: tobacco, </w:t>
      </w:r>
      <w:r w:rsidR="00305A0D">
        <w:rPr>
          <w:lang w:val="en-GB"/>
        </w:rPr>
        <w:t xml:space="preserve">alcohol, </w:t>
      </w:r>
      <w:r w:rsidRPr="00E70E70">
        <w:rPr>
          <w:lang w:val="en-GB"/>
        </w:rPr>
        <w:t xml:space="preserve">adolescents, </w:t>
      </w:r>
      <w:r w:rsidR="00305A0D">
        <w:rPr>
          <w:lang w:val="en-GB"/>
        </w:rPr>
        <w:t>mobile phone</w:t>
      </w:r>
      <w:r w:rsidRPr="00E70E70">
        <w:rPr>
          <w:lang w:val="en-GB"/>
        </w:rPr>
        <w:t xml:space="preserve">, usage trajectories, outcome </w:t>
      </w:r>
    </w:p>
    <w:p w14:paraId="4675F0B4" w14:textId="77777777" w:rsidR="0006681D" w:rsidRPr="002840A4" w:rsidRDefault="0006681D" w:rsidP="00E0621D">
      <w:pPr>
        <w:spacing w:line="480" w:lineRule="auto"/>
        <w:rPr>
          <w:lang w:val="en-GB"/>
        </w:rPr>
      </w:pPr>
      <w:r w:rsidRPr="002840A4">
        <w:rPr>
          <w:lang w:val="en-GB"/>
        </w:rPr>
        <w:br w:type="page"/>
      </w:r>
    </w:p>
    <w:p w14:paraId="35A00DB8" w14:textId="77777777" w:rsidR="008A62F0" w:rsidRPr="009E361E" w:rsidRDefault="005A3478" w:rsidP="009E361E">
      <w:pPr>
        <w:pStyle w:val="Listenabsatz"/>
        <w:numPr>
          <w:ilvl w:val="0"/>
          <w:numId w:val="32"/>
        </w:numPr>
        <w:spacing w:line="480" w:lineRule="auto"/>
        <w:rPr>
          <w:lang w:val="en-GB"/>
        </w:rPr>
      </w:pPr>
      <w:r w:rsidRPr="009E361E">
        <w:rPr>
          <w:lang w:val="en-GB"/>
        </w:rPr>
        <w:lastRenderedPageBreak/>
        <w:t>Introduction</w:t>
      </w:r>
    </w:p>
    <w:p w14:paraId="583B2E00" w14:textId="3E192B2A" w:rsidR="00D878A1" w:rsidRDefault="006B3A27" w:rsidP="0013688B">
      <w:pPr>
        <w:autoSpaceDE w:val="0"/>
        <w:autoSpaceDN w:val="0"/>
        <w:adjustRightInd w:val="0"/>
        <w:spacing w:line="480" w:lineRule="auto"/>
        <w:ind w:firstLine="360"/>
        <w:rPr>
          <w:lang w:val="en-GB"/>
        </w:rPr>
      </w:pPr>
      <w:r>
        <w:rPr>
          <w:lang w:val="en-GB"/>
        </w:rPr>
        <w:t xml:space="preserve">Tobacco smoking is one of the </w:t>
      </w:r>
      <w:r w:rsidR="00900C7D">
        <w:rPr>
          <w:lang w:val="en-GB"/>
        </w:rPr>
        <w:t>main contributors</w:t>
      </w:r>
      <w:r>
        <w:rPr>
          <w:lang w:val="en-GB"/>
        </w:rPr>
        <w:t xml:space="preserve"> </w:t>
      </w:r>
      <w:r w:rsidR="00900C7D">
        <w:rPr>
          <w:lang w:val="en-GB"/>
        </w:rPr>
        <w:t xml:space="preserve">to the global </w:t>
      </w:r>
      <w:r>
        <w:rPr>
          <w:lang w:val="en-GB"/>
        </w:rPr>
        <w:t>burden of disease</w:t>
      </w:r>
      <w:r w:rsidR="00900C7D">
        <w:rPr>
          <w:lang w:val="en-GB"/>
        </w:rPr>
        <w:t xml:space="preserve"> </w:t>
      </w:r>
      <w:r w:rsidR="00BA2D5A" w:rsidRPr="00BA2D5A">
        <w:rPr>
          <w:lang w:val="en-GB"/>
        </w:rPr>
        <w:t>[1]</w:t>
      </w:r>
      <w:r>
        <w:rPr>
          <w:lang w:val="en-GB"/>
        </w:rPr>
        <w:t xml:space="preserve">. </w:t>
      </w:r>
      <w:r w:rsidR="00CF1BA2">
        <w:rPr>
          <w:lang w:val="en-GB"/>
        </w:rPr>
        <w:t>A survey of 15- and 16-year-old adolescents covering 36 European countries revealed that 2</w:t>
      </w:r>
      <w:r w:rsidR="00FD1CBF">
        <w:rPr>
          <w:lang w:val="en-GB"/>
        </w:rPr>
        <w:t>1</w:t>
      </w:r>
      <w:r w:rsidR="00CF1BA2">
        <w:rPr>
          <w:lang w:val="en-GB"/>
        </w:rPr>
        <w:t xml:space="preserve">% </w:t>
      </w:r>
      <w:r w:rsidR="00FD1CBF">
        <w:rPr>
          <w:lang w:val="en-GB"/>
        </w:rPr>
        <w:t xml:space="preserve">considered </w:t>
      </w:r>
      <w:r w:rsidR="00D0573C">
        <w:rPr>
          <w:lang w:val="en-GB"/>
        </w:rPr>
        <w:t xml:space="preserve">themselves </w:t>
      </w:r>
      <w:r w:rsidR="00FD1CBF">
        <w:rPr>
          <w:lang w:val="en-GB"/>
        </w:rPr>
        <w:t xml:space="preserve">current smokers </w:t>
      </w:r>
      <w:r w:rsidR="00BA2D5A" w:rsidRPr="00BA2D5A">
        <w:rPr>
          <w:lang w:val="en-GB"/>
        </w:rPr>
        <w:t>[2]</w:t>
      </w:r>
      <w:r w:rsidR="00CF1BA2">
        <w:rPr>
          <w:lang w:val="en-GB"/>
        </w:rPr>
        <w:t xml:space="preserve">. </w:t>
      </w:r>
      <w:r w:rsidR="00D0573C">
        <w:rPr>
          <w:lang w:val="en-GB"/>
        </w:rPr>
        <w:t>Since</w:t>
      </w:r>
      <w:r w:rsidR="00FD1CBF">
        <w:rPr>
          <w:lang w:val="en-GB"/>
        </w:rPr>
        <w:t xml:space="preserve"> tobacco use </w:t>
      </w:r>
      <w:r w:rsidR="00D0573C">
        <w:rPr>
          <w:lang w:val="en-GB"/>
        </w:rPr>
        <w:t xml:space="preserve">often </w:t>
      </w:r>
      <w:r w:rsidR="00FD1CBF">
        <w:rPr>
          <w:lang w:val="en-GB"/>
        </w:rPr>
        <w:t xml:space="preserve">starts in adolescence, intervening before the development of a substance use disorder gains importance </w:t>
      </w:r>
      <w:r w:rsidR="00BA2D5A" w:rsidRPr="00BA2D5A">
        <w:rPr>
          <w:lang w:val="en-GB"/>
        </w:rPr>
        <w:t>[3]</w:t>
      </w:r>
      <w:r w:rsidR="00FD1CBF">
        <w:rPr>
          <w:lang w:val="en-GB"/>
        </w:rPr>
        <w:t>.</w:t>
      </w:r>
    </w:p>
    <w:p w14:paraId="71608DE3" w14:textId="097B5783" w:rsidR="00C55E40" w:rsidRDefault="0013688B" w:rsidP="003233E2">
      <w:pPr>
        <w:autoSpaceDE w:val="0"/>
        <w:autoSpaceDN w:val="0"/>
        <w:adjustRightInd w:val="0"/>
        <w:spacing w:line="480" w:lineRule="auto"/>
        <w:ind w:firstLine="426"/>
        <w:rPr>
          <w:lang w:val="en-GB"/>
        </w:rPr>
      </w:pPr>
      <w:r>
        <w:rPr>
          <w:lang w:val="en-GB"/>
        </w:rPr>
        <w:t>M</w:t>
      </w:r>
      <w:r w:rsidR="002F23AB">
        <w:rPr>
          <w:lang w:val="en-GB"/>
        </w:rPr>
        <w:t xml:space="preserve">obile phone-based </w:t>
      </w:r>
      <w:r w:rsidR="00A52B35">
        <w:rPr>
          <w:lang w:val="en-GB"/>
        </w:rPr>
        <w:t>programs</w:t>
      </w:r>
      <w:r w:rsidR="002F23AB">
        <w:rPr>
          <w:lang w:val="en-GB"/>
        </w:rPr>
        <w:t xml:space="preserve"> for smoking cessation are </w:t>
      </w:r>
      <w:r w:rsidR="00A3756B">
        <w:rPr>
          <w:lang w:val="en-GB"/>
        </w:rPr>
        <w:t>promising</w:t>
      </w:r>
      <w:r w:rsidR="00A52B35">
        <w:rPr>
          <w:lang w:val="en-GB"/>
        </w:rPr>
        <w:t xml:space="preserve"> tools</w:t>
      </w:r>
      <w:r w:rsidR="00A3756B">
        <w:rPr>
          <w:lang w:val="en-GB"/>
        </w:rPr>
        <w:t xml:space="preserve"> </w:t>
      </w:r>
      <w:r w:rsidR="00354D73">
        <w:rPr>
          <w:lang w:val="en-GB"/>
        </w:rPr>
        <w:t>for</w:t>
      </w:r>
      <w:r w:rsidR="00A3756B">
        <w:rPr>
          <w:lang w:val="en-GB"/>
        </w:rPr>
        <w:t xml:space="preserve"> deliver</w:t>
      </w:r>
      <w:r w:rsidR="00354D73">
        <w:rPr>
          <w:lang w:val="en-GB"/>
        </w:rPr>
        <w:t>ing</w:t>
      </w:r>
      <w:r w:rsidR="00A3756B">
        <w:rPr>
          <w:lang w:val="en-GB"/>
        </w:rPr>
        <w:t xml:space="preserve"> treatment to </w:t>
      </w:r>
      <w:r w:rsidR="00430B1B">
        <w:rPr>
          <w:lang w:val="en-GB"/>
        </w:rPr>
        <w:t>large</w:t>
      </w:r>
      <w:r w:rsidR="00A3756B">
        <w:rPr>
          <w:lang w:val="en-GB"/>
        </w:rPr>
        <w:t xml:space="preserve"> number</w:t>
      </w:r>
      <w:r w:rsidR="00D0573C">
        <w:rPr>
          <w:lang w:val="en-GB"/>
        </w:rPr>
        <w:t>s</w:t>
      </w:r>
      <w:r w:rsidR="00A3756B">
        <w:rPr>
          <w:lang w:val="en-GB"/>
        </w:rPr>
        <w:t xml:space="preserve"> of adolescents </w:t>
      </w:r>
      <w:r w:rsidR="00BA2D5A" w:rsidRPr="00BA2D5A">
        <w:rPr>
          <w:lang w:val="en-GB"/>
        </w:rPr>
        <w:t>[3]</w:t>
      </w:r>
      <w:r w:rsidR="00A3756B">
        <w:rPr>
          <w:lang w:val="en-GB"/>
        </w:rPr>
        <w:t xml:space="preserve">. </w:t>
      </w:r>
      <w:r w:rsidR="0083330C">
        <w:rPr>
          <w:lang w:val="en-GB"/>
        </w:rPr>
        <w:t>S</w:t>
      </w:r>
      <w:r w:rsidR="00A3756B">
        <w:rPr>
          <w:lang w:val="en-GB"/>
        </w:rPr>
        <w:t xml:space="preserve">uch programs </w:t>
      </w:r>
      <w:r w:rsidR="00354D73">
        <w:rPr>
          <w:lang w:val="en-GB"/>
        </w:rPr>
        <w:t xml:space="preserve">have </w:t>
      </w:r>
      <w:r w:rsidR="0083330C">
        <w:rPr>
          <w:lang w:val="en-GB"/>
        </w:rPr>
        <w:t xml:space="preserve">already </w:t>
      </w:r>
      <w:r w:rsidR="00354D73">
        <w:rPr>
          <w:lang w:val="en-GB"/>
        </w:rPr>
        <w:t>been proven</w:t>
      </w:r>
      <w:r w:rsidR="00A3756B">
        <w:rPr>
          <w:lang w:val="en-GB"/>
        </w:rPr>
        <w:t xml:space="preserve"> more effective than minimal or no intervention</w:t>
      </w:r>
      <w:r w:rsidR="0083330C">
        <w:rPr>
          <w:lang w:val="en-GB"/>
        </w:rPr>
        <w:t xml:space="preserve"> in adult smokers </w:t>
      </w:r>
      <w:r w:rsidR="00BA2D5A" w:rsidRPr="00BA2D5A">
        <w:rPr>
          <w:lang w:val="en-GB"/>
        </w:rPr>
        <w:t>[4–8]</w:t>
      </w:r>
      <w:r w:rsidR="0083330C">
        <w:rPr>
          <w:lang w:val="en-GB"/>
        </w:rPr>
        <w:t>.</w:t>
      </w:r>
      <w:r w:rsidR="00A52B35">
        <w:rPr>
          <w:lang w:val="en-GB"/>
        </w:rPr>
        <w:t xml:space="preserve"> </w:t>
      </w:r>
      <w:r w:rsidR="00A414AB">
        <w:rPr>
          <w:lang w:val="en-GB"/>
        </w:rPr>
        <w:t xml:space="preserve">While </w:t>
      </w:r>
      <w:r w:rsidR="0083330C">
        <w:rPr>
          <w:lang w:val="en-GB"/>
        </w:rPr>
        <w:t xml:space="preserve">only trends </w:t>
      </w:r>
      <w:r w:rsidR="00430B1B">
        <w:rPr>
          <w:lang w:val="en-GB"/>
        </w:rPr>
        <w:t xml:space="preserve">towards </w:t>
      </w:r>
      <w:r w:rsidR="00C300E5">
        <w:rPr>
          <w:lang w:val="en-GB"/>
        </w:rPr>
        <w:t xml:space="preserve">the </w:t>
      </w:r>
      <w:r w:rsidR="0083330C">
        <w:rPr>
          <w:lang w:val="en-GB"/>
        </w:rPr>
        <w:t xml:space="preserve">effectiveness </w:t>
      </w:r>
      <w:r w:rsidR="007F67F9">
        <w:rPr>
          <w:lang w:val="en-GB"/>
        </w:rPr>
        <w:t xml:space="preserve">of such programs </w:t>
      </w:r>
      <w:r w:rsidR="0083330C">
        <w:rPr>
          <w:lang w:val="en-GB"/>
        </w:rPr>
        <w:t>in adolescents</w:t>
      </w:r>
      <w:r w:rsidR="002B537A">
        <w:rPr>
          <w:lang w:val="en-GB"/>
        </w:rPr>
        <w:t xml:space="preserve"> </w:t>
      </w:r>
      <w:r w:rsidR="00430B1B">
        <w:rPr>
          <w:lang w:val="en-GB"/>
        </w:rPr>
        <w:t>have been documented to date</w:t>
      </w:r>
      <w:r w:rsidR="007F67F9">
        <w:rPr>
          <w:lang w:val="en-GB"/>
        </w:rPr>
        <w:t xml:space="preserve"> </w:t>
      </w:r>
      <w:r w:rsidR="00BA2D5A" w:rsidRPr="00BA2D5A">
        <w:rPr>
          <w:lang w:val="en-GB"/>
        </w:rPr>
        <w:t>[6]</w:t>
      </w:r>
      <w:r w:rsidR="0083330C">
        <w:rPr>
          <w:lang w:val="en-GB"/>
        </w:rPr>
        <w:t>, studies emphasize their acceptance</w:t>
      </w:r>
      <w:r w:rsidR="00A414AB">
        <w:rPr>
          <w:lang w:val="en-GB"/>
        </w:rPr>
        <w:t xml:space="preserve"> by adolescent smokers</w:t>
      </w:r>
      <w:r w:rsidR="0073702F">
        <w:rPr>
          <w:lang w:val="en-GB"/>
        </w:rPr>
        <w:t xml:space="preserve"> </w:t>
      </w:r>
      <w:r w:rsidR="00A414AB">
        <w:rPr>
          <w:lang w:val="en-GB"/>
        </w:rPr>
        <w:t>with mixed intentions to quit smoking,</w:t>
      </w:r>
      <w:r w:rsidR="00C24227">
        <w:rPr>
          <w:lang w:val="en-GB"/>
        </w:rPr>
        <w:t xml:space="preserve"> and by adolescent smokers</w:t>
      </w:r>
      <w:r w:rsidR="00A414AB">
        <w:rPr>
          <w:lang w:val="en-GB"/>
        </w:rPr>
        <w:t xml:space="preserve"> </w:t>
      </w:r>
      <w:r w:rsidR="00354D73">
        <w:rPr>
          <w:lang w:val="en-GB"/>
        </w:rPr>
        <w:t>of</w:t>
      </w:r>
      <w:r w:rsidR="0073702F">
        <w:rPr>
          <w:lang w:val="en-GB"/>
        </w:rPr>
        <w:t xml:space="preserve"> different </w:t>
      </w:r>
      <w:r w:rsidR="00D555C1">
        <w:rPr>
          <w:lang w:val="en-GB"/>
        </w:rPr>
        <w:t>gender</w:t>
      </w:r>
      <w:r w:rsidR="00430B1B">
        <w:rPr>
          <w:lang w:val="en-GB"/>
        </w:rPr>
        <w:t>s</w:t>
      </w:r>
      <w:r w:rsidR="00D555C1">
        <w:rPr>
          <w:lang w:val="en-GB"/>
        </w:rPr>
        <w:t xml:space="preserve">, </w:t>
      </w:r>
      <w:r w:rsidR="0073702F">
        <w:rPr>
          <w:lang w:val="en-GB"/>
        </w:rPr>
        <w:t>educational levels,</w:t>
      </w:r>
      <w:r w:rsidR="00197714">
        <w:rPr>
          <w:lang w:val="en-GB"/>
        </w:rPr>
        <w:t xml:space="preserve"> and</w:t>
      </w:r>
      <w:r w:rsidR="0073702F">
        <w:rPr>
          <w:lang w:val="en-GB"/>
        </w:rPr>
        <w:t xml:space="preserve"> </w:t>
      </w:r>
      <w:r w:rsidR="00197714">
        <w:rPr>
          <w:lang w:val="en-GB"/>
        </w:rPr>
        <w:t>im</w:t>
      </w:r>
      <w:r w:rsidR="0073702F">
        <w:rPr>
          <w:lang w:val="en-GB"/>
        </w:rPr>
        <w:t>migra</w:t>
      </w:r>
      <w:r w:rsidR="0065477B">
        <w:rPr>
          <w:lang w:val="en-GB"/>
        </w:rPr>
        <w:t>nt</w:t>
      </w:r>
      <w:r w:rsidR="0073702F">
        <w:rPr>
          <w:lang w:val="en-GB"/>
        </w:rPr>
        <w:t xml:space="preserve"> background</w:t>
      </w:r>
      <w:r w:rsidR="00430B1B">
        <w:rPr>
          <w:lang w:val="en-GB"/>
        </w:rPr>
        <w:t>s</w:t>
      </w:r>
      <w:r w:rsidR="0073702F">
        <w:rPr>
          <w:lang w:val="en-GB"/>
        </w:rPr>
        <w:t xml:space="preserve"> </w:t>
      </w:r>
      <w:r w:rsidR="00BA2D5A" w:rsidRPr="00BA2D5A">
        <w:rPr>
          <w:lang w:val="en-GB"/>
        </w:rPr>
        <w:t>[9,10]</w:t>
      </w:r>
      <w:r w:rsidR="002D4366">
        <w:rPr>
          <w:lang w:val="en-GB"/>
        </w:rPr>
        <w:t>.</w:t>
      </w:r>
      <w:r w:rsidR="00D76921">
        <w:rPr>
          <w:lang w:val="en-GB"/>
        </w:rPr>
        <w:t xml:space="preserve"> </w:t>
      </w:r>
    </w:p>
    <w:p w14:paraId="20304024" w14:textId="5A24E22D" w:rsidR="008631AC" w:rsidRDefault="004205A4" w:rsidP="003233E2">
      <w:pPr>
        <w:autoSpaceDE w:val="0"/>
        <w:autoSpaceDN w:val="0"/>
        <w:adjustRightInd w:val="0"/>
        <w:spacing w:line="480" w:lineRule="auto"/>
        <w:ind w:firstLine="426"/>
        <w:rPr>
          <w:lang w:val="en-GB"/>
        </w:rPr>
      </w:pPr>
      <w:r>
        <w:rPr>
          <w:lang w:val="en-GB"/>
        </w:rPr>
        <w:t>Mobile phone-based smoking cessation programs</w:t>
      </w:r>
      <w:r w:rsidR="00E169DA">
        <w:rPr>
          <w:lang w:val="en-GB"/>
        </w:rPr>
        <w:t xml:space="preserve"> are</w:t>
      </w:r>
      <w:r>
        <w:rPr>
          <w:lang w:val="en-GB"/>
        </w:rPr>
        <w:t xml:space="preserve"> delivered via</w:t>
      </w:r>
      <w:r w:rsidR="005D3789">
        <w:rPr>
          <w:lang w:val="en-GB"/>
        </w:rPr>
        <w:t xml:space="preserve"> a</w:t>
      </w:r>
      <w:r w:rsidR="00E169DA">
        <w:rPr>
          <w:lang w:val="en-GB"/>
        </w:rPr>
        <w:t>pp</w:t>
      </w:r>
      <w:r w:rsidR="00826C84">
        <w:rPr>
          <w:lang w:val="en-GB"/>
        </w:rPr>
        <w:t>s</w:t>
      </w:r>
      <w:r w:rsidR="00E169DA">
        <w:rPr>
          <w:lang w:val="en-GB"/>
        </w:rPr>
        <w:t xml:space="preserve"> </w:t>
      </w:r>
      <w:r w:rsidR="00BA2D5A" w:rsidRPr="005D2CB3">
        <w:rPr>
          <w:lang w:val="en-GB"/>
        </w:rPr>
        <w:t>[11]</w:t>
      </w:r>
      <w:r w:rsidR="00E169DA">
        <w:rPr>
          <w:lang w:val="en-GB"/>
        </w:rPr>
        <w:t xml:space="preserve"> </w:t>
      </w:r>
      <w:r>
        <w:rPr>
          <w:lang w:val="en-GB"/>
        </w:rPr>
        <w:t>or</w:t>
      </w:r>
      <w:r w:rsidR="007F67F9">
        <w:rPr>
          <w:lang w:val="en-GB"/>
        </w:rPr>
        <w:t xml:space="preserve"> text messaging</w:t>
      </w:r>
      <w:r w:rsidR="00E169DA">
        <w:rPr>
          <w:lang w:val="en-GB"/>
        </w:rPr>
        <w:t xml:space="preserve"> </w:t>
      </w:r>
      <w:r w:rsidR="00BA2D5A" w:rsidRPr="00BA2D5A">
        <w:rPr>
          <w:lang w:val="en-GB"/>
        </w:rPr>
        <w:t>[10</w:t>
      </w:r>
      <w:proofErr w:type="gramStart"/>
      <w:r w:rsidR="00BA2D5A" w:rsidRPr="00BA2D5A">
        <w:rPr>
          <w:lang w:val="en-GB"/>
        </w:rPr>
        <w:t>,12</w:t>
      </w:r>
      <w:proofErr w:type="gramEnd"/>
      <w:r w:rsidR="00BA2D5A" w:rsidRPr="00BA2D5A">
        <w:rPr>
          <w:lang w:val="en-GB"/>
        </w:rPr>
        <w:t>]</w:t>
      </w:r>
      <w:r w:rsidR="00E169DA">
        <w:rPr>
          <w:lang w:val="en-GB"/>
        </w:rPr>
        <w:t xml:space="preserve">, </w:t>
      </w:r>
      <w:r w:rsidR="003D4635">
        <w:rPr>
          <w:lang w:val="en-GB"/>
        </w:rPr>
        <w:t xml:space="preserve">with </w:t>
      </w:r>
      <w:r w:rsidR="005D3789">
        <w:rPr>
          <w:lang w:val="en-GB"/>
        </w:rPr>
        <w:t>the</w:t>
      </w:r>
      <w:r w:rsidR="003D4635">
        <w:rPr>
          <w:lang w:val="en-GB"/>
        </w:rPr>
        <w:t xml:space="preserve"> greatest difference being </w:t>
      </w:r>
      <w:r w:rsidR="005D3789">
        <w:rPr>
          <w:lang w:val="en-GB"/>
        </w:rPr>
        <w:t>the</w:t>
      </w:r>
      <w:r w:rsidR="007A361F">
        <w:rPr>
          <w:lang w:val="en-GB"/>
        </w:rPr>
        <w:t xml:space="preserve"> level of</w:t>
      </w:r>
      <w:r w:rsidR="003D4635">
        <w:rPr>
          <w:lang w:val="en-GB"/>
        </w:rPr>
        <w:t xml:space="preserve"> </w:t>
      </w:r>
      <w:r w:rsidR="007A361F">
        <w:rPr>
          <w:lang w:val="en-GB"/>
        </w:rPr>
        <w:t>engagement</w:t>
      </w:r>
      <w:r w:rsidR="005D3789">
        <w:rPr>
          <w:lang w:val="en-GB"/>
        </w:rPr>
        <w:t xml:space="preserve"> demanded by the two approaches</w:t>
      </w:r>
      <w:r w:rsidR="007A361F">
        <w:rPr>
          <w:lang w:val="en-GB"/>
        </w:rPr>
        <w:t>. The</w:t>
      </w:r>
      <w:r w:rsidR="00E169DA">
        <w:rPr>
          <w:lang w:val="en-GB"/>
        </w:rPr>
        <w:t xml:space="preserve"> first demands </w:t>
      </w:r>
      <w:r w:rsidR="005D3789">
        <w:rPr>
          <w:lang w:val="en-GB"/>
        </w:rPr>
        <w:t>that</w:t>
      </w:r>
      <w:r w:rsidR="00E169DA">
        <w:rPr>
          <w:lang w:val="en-GB"/>
        </w:rPr>
        <w:t xml:space="preserve"> users proactively engage with the program</w:t>
      </w:r>
      <w:r w:rsidR="007A361F">
        <w:rPr>
          <w:lang w:val="en-GB"/>
        </w:rPr>
        <w:t>,</w:t>
      </w:r>
      <w:r w:rsidR="00E169DA">
        <w:rPr>
          <w:lang w:val="en-GB"/>
        </w:rPr>
        <w:t xml:space="preserve"> while the latter requires users to actively disengage</w:t>
      </w:r>
      <w:r w:rsidR="005D3789">
        <w:rPr>
          <w:lang w:val="en-GB"/>
        </w:rPr>
        <w:t xml:space="preserve"> from the program</w:t>
      </w:r>
      <w:r w:rsidR="00E169DA">
        <w:rPr>
          <w:lang w:val="en-GB"/>
        </w:rPr>
        <w:t xml:space="preserve"> </w:t>
      </w:r>
      <w:r w:rsidR="00BA2D5A" w:rsidRPr="00BA2D5A">
        <w:rPr>
          <w:lang w:val="en-GB"/>
        </w:rPr>
        <w:t>[13]</w:t>
      </w:r>
      <w:r w:rsidR="00E169DA">
        <w:rPr>
          <w:lang w:val="en-GB"/>
        </w:rPr>
        <w:t>.</w:t>
      </w:r>
      <w:r w:rsidR="00C55E40">
        <w:rPr>
          <w:lang w:val="en-GB"/>
        </w:rPr>
        <w:t xml:space="preserve"> </w:t>
      </w:r>
      <w:r w:rsidR="00CA1D93">
        <w:rPr>
          <w:lang w:val="en-GB"/>
        </w:rPr>
        <w:t>For text messaging-based programs, t</w:t>
      </w:r>
      <w:r w:rsidR="002B7EB6">
        <w:rPr>
          <w:lang w:val="en-GB"/>
        </w:rPr>
        <w:t xml:space="preserve">here is some evidence that </w:t>
      </w:r>
      <w:r w:rsidR="005D3789">
        <w:rPr>
          <w:lang w:val="en-GB"/>
        </w:rPr>
        <w:t xml:space="preserve">the </w:t>
      </w:r>
      <w:r w:rsidR="002B7EB6">
        <w:rPr>
          <w:lang w:val="en-GB"/>
        </w:rPr>
        <w:t xml:space="preserve">predominant engagers are female </w:t>
      </w:r>
      <w:r w:rsidR="00BA2D5A" w:rsidRPr="00BA2D5A">
        <w:rPr>
          <w:lang w:val="en-GB"/>
        </w:rPr>
        <w:t>[14]</w:t>
      </w:r>
      <w:r w:rsidR="00826C84">
        <w:rPr>
          <w:lang w:val="en-GB"/>
        </w:rPr>
        <w:t xml:space="preserve"> and</w:t>
      </w:r>
      <w:r w:rsidR="002B7EB6">
        <w:rPr>
          <w:lang w:val="en-GB"/>
        </w:rPr>
        <w:t xml:space="preserve"> older</w:t>
      </w:r>
      <w:r w:rsidR="00FD4392">
        <w:rPr>
          <w:lang w:val="en-GB"/>
        </w:rPr>
        <w:t>,</w:t>
      </w:r>
      <w:r w:rsidR="002B7EB6">
        <w:rPr>
          <w:lang w:val="en-GB"/>
        </w:rPr>
        <w:t xml:space="preserve"> and </w:t>
      </w:r>
      <w:r w:rsidR="0065477B">
        <w:rPr>
          <w:lang w:val="en-GB"/>
        </w:rPr>
        <w:t xml:space="preserve">that they </w:t>
      </w:r>
      <w:r w:rsidR="00826C84">
        <w:rPr>
          <w:lang w:val="en-GB"/>
        </w:rPr>
        <w:t xml:space="preserve">exhibit </w:t>
      </w:r>
      <w:r w:rsidR="002B7EB6">
        <w:rPr>
          <w:lang w:val="en-GB"/>
        </w:rPr>
        <w:t xml:space="preserve">lower </w:t>
      </w:r>
      <w:r w:rsidR="007F67F9">
        <w:rPr>
          <w:lang w:val="en-GB"/>
        </w:rPr>
        <w:t xml:space="preserve">rates of </w:t>
      </w:r>
      <w:r w:rsidR="002B7EB6">
        <w:rPr>
          <w:lang w:val="en-GB"/>
        </w:rPr>
        <w:t xml:space="preserve">daily </w:t>
      </w:r>
      <w:r w:rsidR="007F67F9">
        <w:rPr>
          <w:lang w:val="en-GB"/>
        </w:rPr>
        <w:t>cigarette consumption</w:t>
      </w:r>
      <w:r w:rsidR="002B7EB6">
        <w:rPr>
          <w:lang w:val="en-GB"/>
        </w:rPr>
        <w:t xml:space="preserve"> </w:t>
      </w:r>
      <w:r w:rsidR="00BA2D5A" w:rsidRPr="00BA2D5A">
        <w:rPr>
          <w:lang w:val="en-GB"/>
        </w:rPr>
        <w:t>[15]</w:t>
      </w:r>
      <w:r w:rsidR="00B62E15">
        <w:rPr>
          <w:lang w:val="en-GB"/>
        </w:rPr>
        <w:t>;</w:t>
      </w:r>
      <w:r w:rsidR="00D96985">
        <w:rPr>
          <w:lang w:val="en-GB"/>
        </w:rPr>
        <w:t xml:space="preserve"> but none of these studies </w:t>
      </w:r>
      <w:r w:rsidR="00826C84">
        <w:rPr>
          <w:lang w:val="en-GB"/>
        </w:rPr>
        <w:t xml:space="preserve">was </w:t>
      </w:r>
      <w:r w:rsidR="00D96985">
        <w:rPr>
          <w:lang w:val="en-GB"/>
        </w:rPr>
        <w:t>conducted on adolescents</w:t>
      </w:r>
      <w:r w:rsidR="002B7EB6">
        <w:rPr>
          <w:lang w:val="en-GB"/>
        </w:rPr>
        <w:t>.</w:t>
      </w:r>
    </w:p>
    <w:p w14:paraId="76197686" w14:textId="036DCDEC" w:rsidR="00CD3CB2" w:rsidRDefault="00FD4392" w:rsidP="003233E2">
      <w:pPr>
        <w:autoSpaceDE w:val="0"/>
        <w:autoSpaceDN w:val="0"/>
        <w:adjustRightInd w:val="0"/>
        <w:spacing w:line="480" w:lineRule="auto"/>
        <w:ind w:firstLine="426"/>
        <w:rPr>
          <w:lang w:val="en-GB"/>
        </w:rPr>
      </w:pPr>
      <w:r>
        <w:rPr>
          <w:lang w:val="en-GB"/>
        </w:rPr>
        <w:t xml:space="preserve">User engagement with different </w:t>
      </w:r>
      <w:r w:rsidR="00381ED3">
        <w:rPr>
          <w:lang w:val="en-GB"/>
        </w:rPr>
        <w:t xml:space="preserve">smoking </w:t>
      </w:r>
      <w:r>
        <w:rPr>
          <w:lang w:val="en-GB"/>
        </w:rPr>
        <w:t xml:space="preserve">cessation programs has been </w:t>
      </w:r>
      <w:r w:rsidR="0065477B">
        <w:rPr>
          <w:lang w:val="en-GB"/>
        </w:rPr>
        <w:t xml:space="preserve">linked </w:t>
      </w:r>
      <w:r>
        <w:rPr>
          <w:lang w:val="en-GB"/>
        </w:rPr>
        <w:t>to positive behaviour</w:t>
      </w:r>
      <w:r w:rsidR="00826C84">
        <w:rPr>
          <w:lang w:val="en-GB"/>
        </w:rPr>
        <w:t>al</w:t>
      </w:r>
      <w:r>
        <w:rPr>
          <w:lang w:val="en-GB"/>
        </w:rPr>
        <w:t xml:space="preserve"> changes. </w:t>
      </w:r>
      <w:r w:rsidR="00826C84">
        <w:rPr>
          <w:lang w:val="en-GB"/>
        </w:rPr>
        <w:t>With</w:t>
      </w:r>
      <w:r>
        <w:rPr>
          <w:lang w:val="en-GB"/>
        </w:rPr>
        <w:t xml:space="preserve"> web-based </w:t>
      </w:r>
      <w:r w:rsidR="003F2E35">
        <w:rPr>
          <w:lang w:val="en-GB"/>
        </w:rPr>
        <w:t>interventions</w:t>
      </w:r>
      <w:r w:rsidR="002939C6">
        <w:rPr>
          <w:lang w:val="en-GB"/>
        </w:rPr>
        <w:t>,</w:t>
      </w:r>
      <w:r w:rsidR="003F2E35">
        <w:rPr>
          <w:lang w:val="en-GB"/>
        </w:rPr>
        <w:t xml:space="preserve"> for instance</w:t>
      </w:r>
      <w:r>
        <w:rPr>
          <w:lang w:val="en-GB"/>
        </w:rPr>
        <w:t xml:space="preserve">, higher numbers of visits and page views were associated with abstinence </w:t>
      </w:r>
      <w:r w:rsidR="00BA2D5A" w:rsidRPr="00B90D34">
        <w:rPr>
          <w:lang w:val="en-GB"/>
        </w:rPr>
        <w:t>[16–18]</w:t>
      </w:r>
      <w:r>
        <w:rPr>
          <w:lang w:val="en-GB"/>
        </w:rPr>
        <w:t xml:space="preserve">. </w:t>
      </w:r>
      <w:r w:rsidR="009B5722">
        <w:rPr>
          <w:lang w:val="en-GB"/>
        </w:rPr>
        <w:t xml:space="preserve">Recent studies on text messaging-based interventions </w:t>
      </w:r>
      <w:r w:rsidR="00266242">
        <w:rPr>
          <w:lang w:val="en-GB"/>
        </w:rPr>
        <w:t>point in the</w:t>
      </w:r>
      <w:r w:rsidR="00294C87">
        <w:rPr>
          <w:lang w:val="en-GB"/>
        </w:rPr>
        <w:t xml:space="preserve"> same direction. In a study </w:t>
      </w:r>
      <w:r w:rsidR="00683B95">
        <w:rPr>
          <w:lang w:val="en-GB"/>
        </w:rPr>
        <w:t>by</w:t>
      </w:r>
      <w:r w:rsidR="00294C87">
        <w:rPr>
          <w:lang w:val="en-GB"/>
        </w:rPr>
        <w:t xml:space="preserve"> </w:t>
      </w:r>
      <w:proofErr w:type="spellStart"/>
      <w:r w:rsidR="00165D40">
        <w:rPr>
          <w:lang w:val="en-GB"/>
        </w:rPr>
        <w:t>Balmford</w:t>
      </w:r>
      <w:proofErr w:type="spellEnd"/>
      <w:r w:rsidR="00165D40">
        <w:rPr>
          <w:lang w:val="en-GB"/>
        </w:rPr>
        <w:t xml:space="preserve"> and </w:t>
      </w:r>
      <w:r w:rsidR="00294C87">
        <w:rPr>
          <w:lang w:val="en-GB"/>
        </w:rPr>
        <w:t xml:space="preserve">Borland </w:t>
      </w:r>
      <w:r w:rsidR="00BA2D5A" w:rsidRPr="00BA2D5A">
        <w:rPr>
          <w:lang w:val="en-GB"/>
        </w:rPr>
        <w:t>[19]</w:t>
      </w:r>
      <w:r w:rsidR="00A007C9">
        <w:rPr>
          <w:lang w:val="en-GB"/>
        </w:rPr>
        <w:t>,</w:t>
      </w:r>
      <w:r w:rsidR="00165D40">
        <w:rPr>
          <w:lang w:val="en-GB"/>
        </w:rPr>
        <w:t xml:space="preserve"> </w:t>
      </w:r>
      <w:r w:rsidR="009504BD">
        <w:rPr>
          <w:lang w:val="en-GB"/>
        </w:rPr>
        <w:t xml:space="preserve">the </w:t>
      </w:r>
      <w:r w:rsidR="00294C87">
        <w:rPr>
          <w:lang w:val="en-GB"/>
        </w:rPr>
        <w:t xml:space="preserve">efficacy of </w:t>
      </w:r>
      <w:r w:rsidR="005C6619">
        <w:rPr>
          <w:lang w:val="en-GB"/>
        </w:rPr>
        <w:t>a</w:t>
      </w:r>
      <w:r w:rsidR="00294C87">
        <w:rPr>
          <w:lang w:val="en-GB"/>
        </w:rPr>
        <w:t xml:space="preserve"> text messaging</w:t>
      </w:r>
      <w:r w:rsidR="005C6619">
        <w:rPr>
          <w:lang w:val="en-GB"/>
        </w:rPr>
        <w:t>-based</w:t>
      </w:r>
      <w:r w:rsidR="00294C87">
        <w:rPr>
          <w:lang w:val="en-GB"/>
        </w:rPr>
        <w:t xml:space="preserve"> </w:t>
      </w:r>
      <w:r w:rsidR="004318E7">
        <w:rPr>
          <w:lang w:val="en-GB"/>
        </w:rPr>
        <w:t>smoking</w:t>
      </w:r>
      <w:r w:rsidR="0065477B">
        <w:rPr>
          <w:lang w:val="en-GB"/>
        </w:rPr>
        <w:t>-</w:t>
      </w:r>
      <w:r w:rsidR="004318E7">
        <w:rPr>
          <w:lang w:val="en-GB"/>
        </w:rPr>
        <w:t>cessation program</w:t>
      </w:r>
      <w:r w:rsidR="009F5B55">
        <w:rPr>
          <w:lang w:val="en-GB"/>
        </w:rPr>
        <w:t xml:space="preserve"> was </w:t>
      </w:r>
      <w:r w:rsidR="0065477B">
        <w:rPr>
          <w:lang w:val="en-GB"/>
        </w:rPr>
        <w:t>associated with</w:t>
      </w:r>
      <w:r w:rsidR="009F5B55">
        <w:rPr>
          <w:lang w:val="en-GB"/>
        </w:rPr>
        <w:t xml:space="preserve"> completion of the program</w:t>
      </w:r>
      <w:r w:rsidR="00294C87">
        <w:rPr>
          <w:lang w:val="en-GB"/>
        </w:rPr>
        <w:t>.</w:t>
      </w:r>
      <w:r w:rsidR="005C6619">
        <w:rPr>
          <w:lang w:val="en-GB"/>
        </w:rPr>
        <w:t xml:space="preserve"> Participants </w:t>
      </w:r>
      <w:r w:rsidR="004318E7">
        <w:rPr>
          <w:lang w:val="en-GB"/>
        </w:rPr>
        <w:t>who</w:t>
      </w:r>
      <w:r w:rsidR="005C6619">
        <w:rPr>
          <w:lang w:val="en-GB"/>
        </w:rPr>
        <w:t xml:space="preserve"> elected to stop the program were less likely to be abstinent at follow-up. </w:t>
      </w:r>
      <w:r w:rsidR="00826C84">
        <w:rPr>
          <w:lang w:val="en-GB"/>
        </w:rPr>
        <w:t>In a</w:t>
      </w:r>
      <w:r w:rsidR="00CE22EC">
        <w:rPr>
          <w:lang w:val="en-GB"/>
        </w:rPr>
        <w:t xml:space="preserve">nother study </w:t>
      </w:r>
      <w:r w:rsidR="00683B95">
        <w:rPr>
          <w:lang w:val="en-GB"/>
        </w:rPr>
        <w:t>by</w:t>
      </w:r>
      <w:r w:rsidR="00CE22EC">
        <w:rPr>
          <w:lang w:val="en-GB"/>
        </w:rPr>
        <w:t xml:space="preserve"> </w:t>
      </w:r>
      <w:proofErr w:type="spellStart"/>
      <w:r w:rsidR="00CE22EC">
        <w:rPr>
          <w:lang w:val="en-GB"/>
        </w:rPr>
        <w:t>Heminger</w:t>
      </w:r>
      <w:proofErr w:type="spellEnd"/>
      <w:r w:rsidR="00CE22EC">
        <w:rPr>
          <w:lang w:val="en-GB"/>
        </w:rPr>
        <w:t xml:space="preserve"> </w:t>
      </w:r>
      <w:r w:rsidR="0050794A">
        <w:rPr>
          <w:lang w:val="en-GB"/>
        </w:rPr>
        <w:t>et al.</w:t>
      </w:r>
      <w:r w:rsidR="00CE22EC">
        <w:rPr>
          <w:lang w:val="en-GB"/>
        </w:rPr>
        <w:t xml:space="preserve"> </w:t>
      </w:r>
      <w:r w:rsidR="00BA2D5A" w:rsidRPr="00BA2D5A">
        <w:rPr>
          <w:lang w:val="en-GB"/>
        </w:rPr>
        <w:t>[14]</w:t>
      </w:r>
      <w:r w:rsidR="00826C84">
        <w:rPr>
          <w:lang w:val="en-GB"/>
        </w:rPr>
        <w:t>,</w:t>
      </w:r>
      <w:r w:rsidR="00CE22EC">
        <w:rPr>
          <w:lang w:val="en-GB"/>
        </w:rPr>
        <w:t xml:space="preserve"> </w:t>
      </w:r>
      <w:r w:rsidR="00683B95">
        <w:rPr>
          <w:lang w:val="en-GB"/>
        </w:rPr>
        <w:t>rather than</w:t>
      </w:r>
      <w:r w:rsidR="00CE22EC">
        <w:rPr>
          <w:lang w:val="en-GB"/>
        </w:rPr>
        <w:t xml:space="preserve"> overall </w:t>
      </w:r>
      <w:r w:rsidR="00CE22EC">
        <w:rPr>
          <w:lang w:val="en-GB"/>
        </w:rPr>
        <w:lastRenderedPageBreak/>
        <w:t xml:space="preserve">engagement, “post-quit” engagement and the use of specific program features, </w:t>
      </w:r>
      <w:r w:rsidR="00826C84">
        <w:rPr>
          <w:lang w:val="en-GB"/>
        </w:rPr>
        <w:t>like</w:t>
      </w:r>
      <w:r w:rsidR="00CE22EC">
        <w:rPr>
          <w:lang w:val="en-GB"/>
        </w:rPr>
        <w:t xml:space="preserve"> pledges, were </w:t>
      </w:r>
      <w:r w:rsidR="0065477B">
        <w:rPr>
          <w:lang w:val="en-GB"/>
        </w:rPr>
        <w:t xml:space="preserve">specifically </w:t>
      </w:r>
      <w:r w:rsidR="00CE22EC">
        <w:rPr>
          <w:lang w:val="en-GB"/>
        </w:rPr>
        <w:t xml:space="preserve">predictive </w:t>
      </w:r>
      <w:r w:rsidR="00683B95">
        <w:rPr>
          <w:lang w:val="en-GB"/>
        </w:rPr>
        <w:t>of</w:t>
      </w:r>
      <w:r w:rsidR="00CE22EC">
        <w:rPr>
          <w:lang w:val="en-GB"/>
        </w:rPr>
        <w:t xml:space="preserve"> </w:t>
      </w:r>
      <w:r w:rsidR="00826C84">
        <w:rPr>
          <w:lang w:val="en-GB"/>
        </w:rPr>
        <w:t>six</w:t>
      </w:r>
      <w:r w:rsidR="00CE22EC">
        <w:rPr>
          <w:lang w:val="en-GB"/>
        </w:rPr>
        <w:t>-month abstinence</w:t>
      </w:r>
      <w:r w:rsidR="003E7305">
        <w:rPr>
          <w:lang w:val="en-GB"/>
        </w:rPr>
        <w:t>. Even more accurate</w:t>
      </w:r>
      <w:r w:rsidR="00826C84">
        <w:rPr>
          <w:lang w:val="en-GB"/>
        </w:rPr>
        <w:t>ly</w:t>
      </w:r>
      <w:r w:rsidR="003E7305">
        <w:rPr>
          <w:lang w:val="en-GB"/>
        </w:rPr>
        <w:t xml:space="preserve">, a study </w:t>
      </w:r>
      <w:r w:rsidR="00A91585">
        <w:rPr>
          <w:lang w:val="en-GB"/>
        </w:rPr>
        <w:t>by</w:t>
      </w:r>
      <w:r w:rsidR="003E7305">
        <w:rPr>
          <w:lang w:val="en-GB"/>
        </w:rPr>
        <w:t xml:space="preserve"> </w:t>
      </w:r>
      <w:proofErr w:type="spellStart"/>
      <w:r w:rsidR="003E7305">
        <w:rPr>
          <w:lang w:val="en-GB"/>
        </w:rPr>
        <w:t>Christofferson</w:t>
      </w:r>
      <w:proofErr w:type="spellEnd"/>
      <w:r w:rsidR="003E7305">
        <w:rPr>
          <w:lang w:val="en-GB"/>
        </w:rPr>
        <w:t xml:space="preserve"> </w:t>
      </w:r>
      <w:r w:rsidR="0050794A">
        <w:rPr>
          <w:lang w:val="en-GB"/>
        </w:rPr>
        <w:t>et al.</w:t>
      </w:r>
      <w:r w:rsidR="003E7305">
        <w:rPr>
          <w:lang w:val="en-GB"/>
        </w:rPr>
        <w:t xml:space="preserve"> </w:t>
      </w:r>
      <w:r w:rsidR="00BA2D5A" w:rsidRPr="00BA2D5A">
        <w:rPr>
          <w:lang w:val="en-GB"/>
        </w:rPr>
        <w:t>[15]</w:t>
      </w:r>
      <w:r w:rsidR="003E7305">
        <w:rPr>
          <w:lang w:val="en-GB"/>
        </w:rPr>
        <w:t xml:space="preserve"> </w:t>
      </w:r>
      <w:r w:rsidR="0035514B">
        <w:rPr>
          <w:lang w:val="en-GB"/>
        </w:rPr>
        <w:t xml:space="preserve">identified five different classes of user engagement, which </w:t>
      </w:r>
      <w:r w:rsidR="006E3672">
        <w:rPr>
          <w:lang w:val="en-GB"/>
        </w:rPr>
        <w:t>in turn were</w:t>
      </w:r>
      <w:r w:rsidR="0035514B">
        <w:rPr>
          <w:lang w:val="en-GB"/>
        </w:rPr>
        <w:t xml:space="preserve"> associated with different levels of </w:t>
      </w:r>
      <w:r w:rsidR="006E3672">
        <w:rPr>
          <w:lang w:val="en-GB"/>
        </w:rPr>
        <w:t>intervention</w:t>
      </w:r>
      <w:r w:rsidR="00826C84">
        <w:rPr>
          <w:lang w:val="en-GB"/>
        </w:rPr>
        <w:t>al</w:t>
      </w:r>
      <w:r w:rsidR="006E3672">
        <w:rPr>
          <w:lang w:val="en-GB"/>
        </w:rPr>
        <w:t xml:space="preserve"> success</w:t>
      </w:r>
      <w:r w:rsidR="0035514B">
        <w:rPr>
          <w:lang w:val="en-GB"/>
        </w:rPr>
        <w:t>.</w:t>
      </w:r>
      <w:r w:rsidR="006E3672">
        <w:rPr>
          <w:lang w:val="en-GB"/>
        </w:rPr>
        <w:t xml:space="preserve"> The</w:t>
      </w:r>
      <w:r w:rsidR="00826C84">
        <w:rPr>
          <w:lang w:val="en-GB"/>
        </w:rPr>
        <w:t>se investigators</w:t>
      </w:r>
      <w:r w:rsidR="006E3672">
        <w:rPr>
          <w:lang w:val="en-GB"/>
        </w:rPr>
        <w:t xml:space="preserve"> </w:t>
      </w:r>
      <w:r w:rsidR="00A91585">
        <w:rPr>
          <w:lang w:val="en-GB"/>
        </w:rPr>
        <w:t>extracted</w:t>
      </w:r>
      <w:r w:rsidR="006E3672">
        <w:rPr>
          <w:lang w:val="en-GB"/>
        </w:rPr>
        <w:t xml:space="preserve"> two classes of engagement (high engagement and increasing engagement) and three classes of disengagement (rapidly</w:t>
      </w:r>
      <w:r w:rsidR="0065477B">
        <w:rPr>
          <w:lang w:val="en-GB"/>
        </w:rPr>
        <w:t>-</w:t>
      </w:r>
      <w:r w:rsidR="006E3672">
        <w:rPr>
          <w:lang w:val="en-GB"/>
        </w:rPr>
        <w:t xml:space="preserve">decreasing engagement, delayed decreasing engagement, and low engagement), demonstrating that </w:t>
      </w:r>
      <w:r w:rsidR="00F81FAC">
        <w:rPr>
          <w:lang w:val="en-GB"/>
        </w:rPr>
        <w:t>participants within the</w:t>
      </w:r>
      <w:r w:rsidR="006E3672">
        <w:rPr>
          <w:lang w:val="en-GB"/>
        </w:rPr>
        <w:t xml:space="preserve"> more engaged classes were significantly more likely to be abstinent at weeks 3, 4 and 5 </w:t>
      </w:r>
      <w:r w:rsidR="00826C84">
        <w:rPr>
          <w:lang w:val="en-GB"/>
        </w:rPr>
        <w:t xml:space="preserve">than </w:t>
      </w:r>
      <w:r w:rsidR="00F81FAC">
        <w:rPr>
          <w:lang w:val="en-GB"/>
        </w:rPr>
        <w:t xml:space="preserve">participants within </w:t>
      </w:r>
      <w:r w:rsidR="006E3672">
        <w:rPr>
          <w:lang w:val="en-GB"/>
        </w:rPr>
        <w:t>l</w:t>
      </w:r>
      <w:r w:rsidR="00826C84">
        <w:rPr>
          <w:lang w:val="en-GB"/>
        </w:rPr>
        <w:t>ess</w:t>
      </w:r>
      <w:r w:rsidR="006E3672">
        <w:rPr>
          <w:lang w:val="en-GB"/>
        </w:rPr>
        <w:t xml:space="preserve"> </w:t>
      </w:r>
      <w:r w:rsidR="006B48E2">
        <w:rPr>
          <w:lang w:val="en-GB"/>
        </w:rPr>
        <w:t>engaged classes</w:t>
      </w:r>
      <w:r w:rsidR="006E3672">
        <w:rPr>
          <w:lang w:val="en-GB"/>
        </w:rPr>
        <w:t xml:space="preserve">. </w:t>
      </w:r>
    </w:p>
    <w:p w14:paraId="49E4DD87" w14:textId="636718F8" w:rsidR="00CD3CB2" w:rsidRDefault="00CD3CB2" w:rsidP="003233E2">
      <w:pPr>
        <w:autoSpaceDE w:val="0"/>
        <w:autoSpaceDN w:val="0"/>
        <w:adjustRightInd w:val="0"/>
        <w:spacing w:line="480" w:lineRule="auto"/>
        <w:ind w:firstLine="426"/>
        <w:rPr>
          <w:lang w:val="en-GB"/>
        </w:rPr>
      </w:pPr>
      <w:r>
        <w:rPr>
          <w:lang w:val="en-GB"/>
        </w:rPr>
        <w:t xml:space="preserve">However, there are also </w:t>
      </w:r>
      <w:r w:rsidR="00E91B21">
        <w:rPr>
          <w:lang w:val="en-GB"/>
        </w:rPr>
        <w:t>studies</w:t>
      </w:r>
      <w:r>
        <w:rPr>
          <w:lang w:val="en-GB"/>
        </w:rPr>
        <w:t xml:space="preserve"> that </w:t>
      </w:r>
      <w:r w:rsidR="00797F03">
        <w:rPr>
          <w:lang w:val="en-GB"/>
        </w:rPr>
        <w:t>question the association between high engagement and positive behaviour changes</w:t>
      </w:r>
      <w:r w:rsidR="00E91B21">
        <w:rPr>
          <w:lang w:val="en-GB"/>
        </w:rPr>
        <w:t xml:space="preserve"> </w:t>
      </w:r>
      <w:r w:rsidR="00BA2D5A" w:rsidRPr="00BA2D5A">
        <w:rPr>
          <w:lang w:val="en-GB"/>
        </w:rPr>
        <w:t>[11</w:t>
      </w:r>
      <w:proofErr w:type="gramStart"/>
      <w:r w:rsidR="00BA2D5A" w:rsidRPr="00BA2D5A">
        <w:rPr>
          <w:lang w:val="en-GB"/>
        </w:rPr>
        <w:t>,19,20</w:t>
      </w:r>
      <w:proofErr w:type="gramEnd"/>
      <w:r w:rsidR="00BA2D5A" w:rsidRPr="00BA2D5A">
        <w:rPr>
          <w:lang w:val="en-GB"/>
        </w:rPr>
        <w:t>]</w:t>
      </w:r>
      <w:r w:rsidR="00797F03">
        <w:rPr>
          <w:lang w:val="en-GB"/>
        </w:rPr>
        <w:t xml:space="preserve">. </w:t>
      </w:r>
      <w:r>
        <w:rPr>
          <w:lang w:val="en-GB"/>
        </w:rPr>
        <w:t xml:space="preserve">For instance, </w:t>
      </w:r>
      <w:proofErr w:type="spellStart"/>
      <w:r w:rsidRPr="00552408">
        <w:rPr>
          <w:lang w:val="en-GB"/>
        </w:rPr>
        <w:t>Balmford</w:t>
      </w:r>
      <w:proofErr w:type="spellEnd"/>
      <w:r w:rsidRPr="00552408">
        <w:rPr>
          <w:lang w:val="en-GB"/>
        </w:rPr>
        <w:t xml:space="preserve"> </w:t>
      </w:r>
      <w:r w:rsidR="0050794A">
        <w:rPr>
          <w:lang w:val="en-GB"/>
        </w:rPr>
        <w:t>and</w:t>
      </w:r>
      <w:r w:rsidRPr="00552408">
        <w:rPr>
          <w:lang w:val="en-GB"/>
        </w:rPr>
        <w:t xml:space="preserve"> Borland </w:t>
      </w:r>
      <w:r w:rsidR="00BA2D5A" w:rsidRPr="00BA2D5A">
        <w:rPr>
          <w:lang w:val="en-GB"/>
        </w:rPr>
        <w:t>[19]</w:t>
      </w:r>
      <w:r w:rsidRPr="00552408">
        <w:rPr>
          <w:lang w:val="en-GB"/>
        </w:rPr>
        <w:t xml:space="preserve"> found </w:t>
      </w:r>
      <w:r w:rsidR="00F81FAC">
        <w:rPr>
          <w:lang w:val="en-GB"/>
        </w:rPr>
        <w:t xml:space="preserve">that </w:t>
      </w:r>
      <w:r>
        <w:rPr>
          <w:lang w:val="en-GB"/>
        </w:rPr>
        <w:t>users</w:t>
      </w:r>
      <w:r w:rsidRPr="00552408">
        <w:rPr>
          <w:lang w:val="en-GB"/>
        </w:rPr>
        <w:t xml:space="preserve"> with</w:t>
      </w:r>
      <w:r w:rsidR="00F81FAC">
        <w:rPr>
          <w:lang w:val="en-GB"/>
        </w:rPr>
        <w:t xml:space="preserve"> the</w:t>
      </w:r>
      <w:r w:rsidRPr="00552408">
        <w:rPr>
          <w:lang w:val="en-GB"/>
        </w:rPr>
        <w:t xml:space="preserve"> lowest text messaging-intensity ha</w:t>
      </w:r>
      <w:r w:rsidR="00F81FAC">
        <w:rPr>
          <w:lang w:val="en-GB"/>
        </w:rPr>
        <w:t>d</w:t>
      </w:r>
      <w:r w:rsidRPr="00552408">
        <w:rPr>
          <w:lang w:val="en-GB"/>
        </w:rPr>
        <w:t xml:space="preserve"> a greater chance of being abstinent at</w:t>
      </w:r>
      <w:r w:rsidR="00F81FAC">
        <w:rPr>
          <w:lang w:val="en-GB"/>
        </w:rPr>
        <w:t xml:space="preserve"> the</w:t>
      </w:r>
      <w:r w:rsidRPr="00552408">
        <w:rPr>
          <w:lang w:val="en-GB"/>
        </w:rPr>
        <w:t xml:space="preserve"> </w:t>
      </w:r>
      <w:r w:rsidR="00D54D16">
        <w:rPr>
          <w:lang w:val="en-GB"/>
        </w:rPr>
        <w:t>one</w:t>
      </w:r>
      <w:r w:rsidRPr="00552408">
        <w:rPr>
          <w:lang w:val="en-GB"/>
        </w:rPr>
        <w:t xml:space="preserve">-month follow-up. </w:t>
      </w:r>
      <w:r>
        <w:rPr>
          <w:lang w:val="en-GB"/>
        </w:rPr>
        <w:t>The researcher</w:t>
      </w:r>
      <w:r w:rsidR="00D26FF0">
        <w:rPr>
          <w:lang w:val="en-GB"/>
        </w:rPr>
        <w:t>s</w:t>
      </w:r>
      <w:r>
        <w:rPr>
          <w:lang w:val="en-GB"/>
        </w:rPr>
        <w:t xml:space="preserve"> concluded that users tend to be selective as to what they need,</w:t>
      </w:r>
      <w:r w:rsidR="00DC2665">
        <w:rPr>
          <w:lang w:val="en-GB"/>
        </w:rPr>
        <w:t xml:space="preserve"> which is not to be </w:t>
      </w:r>
      <w:r w:rsidR="001D359F">
        <w:rPr>
          <w:lang w:val="en-GB"/>
        </w:rPr>
        <w:t>confused</w:t>
      </w:r>
      <w:r w:rsidR="00DC2665">
        <w:rPr>
          <w:lang w:val="en-GB"/>
        </w:rPr>
        <w:t xml:space="preserve"> with </w:t>
      </w:r>
      <w:r w:rsidR="0065477B">
        <w:rPr>
          <w:lang w:val="en-GB"/>
        </w:rPr>
        <w:t xml:space="preserve">a </w:t>
      </w:r>
      <w:r w:rsidR="00DC2665">
        <w:rPr>
          <w:lang w:val="en-GB"/>
        </w:rPr>
        <w:t>lack of motivation</w:t>
      </w:r>
      <w:r w:rsidR="001D359F">
        <w:rPr>
          <w:lang w:val="en-GB"/>
        </w:rPr>
        <w:t>. Furthermore, they</w:t>
      </w:r>
      <w:r>
        <w:rPr>
          <w:lang w:val="en-GB"/>
        </w:rPr>
        <w:t xml:space="preserve"> </w:t>
      </w:r>
      <w:r w:rsidR="001D359F">
        <w:rPr>
          <w:lang w:val="en-GB"/>
        </w:rPr>
        <w:t>questioned</w:t>
      </w:r>
      <w:r>
        <w:rPr>
          <w:lang w:val="en-GB"/>
        </w:rPr>
        <w:t xml:space="preserve"> whether it would be of more help if greater engagement could be achieved among less responsive users.</w:t>
      </w:r>
      <w:r w:rsidR="00DC2665">
        <w:rPr>
          <w:lang w:val="en-GB"/>
        </w:rPr>
        <w:t xml:space="preserve"> In another </w:t>
      </w:r>
      <w:r w:rsidR="008E1434">
        <w:rPr>
          <w:lang w:val="en-GB"/>
        </w:rPr>
        <w:t xml:space="preserve">pilot </w:t>
      </w:r>
      <w:r w:rsidR="00DC2665">
        <w:rPr>
          <w:lang w:val="en-GB"/>
        </w:rPr>
        <w:t xml:space="preserve">study </w:t>
      </w:r>
      <w:r w:rsidR="00BA2D5A" w:rsidRPr="00BA2D5A">
        <w:rPr>
          <w:lang w:val="en-GB"/>
        </w:rPr>
        <w:t>[11]</w:t>
      </w:r>
      <w:r w:rsidR="00DC2665">
        <w:rPr>
          <w:lang w:val="en-GB"/>
        </w:rPr>
        <w:t xml:space="preserve"> tha</w:t>
      </w:r>
      <w:r w:rsidR="001D359F">
        <w:rPr>
          <w:lang w:val="en-GB"/>
        </w:rPr>
        <w:t>t investigated the use of an a</w:t>
      </w:r>
      <w:r w:rsidR="00DC2665">
        <w:rPr>
          <w:lang w:val="en-GB"/>
        </w:rPr>
        <w:t>pp-based smoking cessation program, the total number of active</w:t>
      </w:r>
      <w:r w:rsidR="0065477B">
        <w:rPr>
          <w:lang w:val="en-GB"/>
        </w:rPr>
        <w:t>ly-</w:t>
      </w:r>
      <w:r w:rsidR="00DC2665">
        <w:rPr>
          <w:lang w:val="en-GB"/>
        </w:rPr>
        <w:t xml:space="preserve">viewed Quit Tips and Medication Tips was predictive </w:t>
      </w:r>
      <w:r w:rsidR="00D54D16">
        <w:rPr>
          <w:lang w:val="en-GB"/>
        </w:rPr>
        <w:t>of</w:t>
      </w:r>
      <w:r w:rsidR="00DC2665">
        <w:rPr>
          <w:lang w:val="en-GB"/>
        </w:rPr>
        <w:t xml:space="preserve"> non-abstinence at 12-week follow-up. </w:t>
      </w:r>
    </w:p>
    <w:p w14:paraId="6C135EC7" w14:textId="5A10122A" w:rsidR="0005522D" w:rsidRDefault="005008BD" w:rsidP="003233E2">
      <w:pPr>
        <w:autoSpaceDE w:val="0"/>
        <w:autoSpaceDN w:val="0"/>
        <w:adjustRightInd w:val="0"/>
        <w:spacing w:line="480" w:lineRule="auto"/>
        <w:ind w:firstLine="851"/>
        <w:rPr>
          <w:lang w:val="en-GB"/>
        </w:rPr>
      </w:pPr>
      <w:r>
        <w:rPr>
          <w:lang w:val="en-GB"/>
        </w:rPr>
        <w:t>Three</w:t>
      </w:r>
      <w:r w:rsidR="005E31BA">
        <w:rPr>
          <w:lang w:val="en-GB"/>
        </w:rPr>
        <w:t xml:space="preserve"> </w:t>
      </w:r>
      <w:r w:rsidR="0005522D">
        <w:rPr>
          <w:lang w:val="en-GB"/>
        </w:rPr>
        <w:t xml:space="preserve">methodological issues </w:t>
      </w:r>
      <w:r w:rsidR="00E07498">
        <w:rPr>
          <w:lang w:val="en-GB"/>
        </w:rPr>
        <w:t xml:space="preserve">make the contribution of </w:t>
      </w:r>
      <w:r w:rsidR="00D54D16">
        <w:rPr>
          <w:lang w:val="en-GB"/>
        </w:rPr>
        <w:t xml:space="preserve">a </w:t>
      </w:r>
      <w:r w:rsidR="00E07498">
        <w:rPr>
          <w:lang w:val="en-GB"/>
        </w:rPr>
        <w:t xml:space="preserve">user’s </w:t>
      </w:r>
      <w:r w:rsidR="00D54D16">
        <w:rPr>
          <w:lang w:val="en-GB"/>
        </w:rPr>
        <w:t xml:space="preserve">level of </w:t>
      </w:r>
      <w:r w:rsidR="00E07498">
        <w:rPr>
          <w:lang w:val="en-GB"/>
        </w:rPr>
        <w:t>engagement to long-term abstinence somewhat uncertain</w:t>
      </w:r>
      <w:r w:rsidR="0082264D">
        <w:rPr>
          <w:lang w:val="en-GB"/>
        </w:rPr>
        <w:t xml:space="preserve">: </w:t>
      </w:r>
      <w:r w:rsidR="00B67158">
        <w:rPr>
          <w:lang w:val="en-GB"/>
        </w:rPr>
        <w:t xml:space="preserve">(1) </w:t>
      </w:r>
      <w:proofErr w:type="gramStart"/>
      <w:r w:rsidR="00B67158">
        <w:rPr>
          <w:lang w:val="en-GB"/>
        </w:rPr>
        <w:t>O</w:t>
      </w:r>
      <w:r w:rsidR="00966111">
        <w:rPr>
          <w:lang w:val="en-GB"/>
        </w:rPr>
        <w:t>nly</w:t>
      </w:r>
      <w:proofErr w:type="gramEnd"/>
      <w:r w:rsidR="00966111">
        <w:rPr>
          <w:lang w:val="en-GB"/>
        </w:rPr>
        <w:t xml:space="preserve"> one study has</w:t>
      </w:r>
      <w:r w:rsidR="00DB56A3">
        <w:rPr>
          <w:lang w:val="en-GB"/>
        </w:rPr>
        <w:t xml:space="preserve"> reported long-term outcome associations with engagement </w:t>
      </w:r>
      <w:r w:rsidR="00BA2D5A" w:rsidRPr="00BA2D5A">
        <w:rPr>
          <w:lang w:val="en-GB"/>
        </w:rPr>
        <w:t>[14]</w:t>
      </w:r>
      <w:r w:rsidR="00DB56A3">
        <w:rPr>
          <w:lang w:val="en-GB"/>
        </w:rPr>
        <w:t xml:space="preserve">. </w:t>
      </w:r>
      <w:r w:rsidR="00B67158">
        <w:rPr>
          <w:lang w:val="en-GB"/>
        </w:rPr>
        <w:t>(2) S</w:t>
      </w:r>
      <w:r w:rsidR="005E31BA">
        <w:rPr>
          <w:lang w:val="en-GB"/>
        </w:rPr>
        <w:t>etting a quit-</w:t>
      </w:r>
      <w:r w:rsidR="0003013C">
        <w:rPr>
          <w:lang w:val="en-GB"/>
        </w:rPr>
        <w:t>date</w:t>
      </w:r>
      <w:r w:rsidR="005E31BA">
        <w:rPr>
          <w:lang w:val="en-GB"/>
        </w:rPr>
        <w:t xml:space="preserve"> </w:t>
      </w:r>
      <w:r w:rsidR="00E63010">
        <w:rPr>
          <w:lang w:val="en-GB"/>
        </w:rPr>
        <w:t xml:space="preserve">and having a quit attempt </w:t>
      </w:r>
      <w:r w:rsidR="005E31BA">
        <w:rPr>
          <w:lang w:val="en-GB"/>
        </w:rPr>
        <w:t xml:space="preserve">is </w:t>
      </w:r>
      <w:r w:rsidR="00F23115">
        <w:rPr>
          <w:lang w:val="en-GB"/>
        </w:rPr>
        <w:t>an integral component of</w:t>
      </w:r>
      <w:r w:rsidR="0005522D">
        <w:rPr>
          <w:lang w:val="en-GB"/>
        </w:rPr>
        <w:t xml:space="preserve"> most </w:t>
      </w:r>
      <w:r w:rsidR="008649C1">
        <w:rPr>
          <w:lang w:val="en-GB"/>
        </w:rPr>
        <w:t>smoking</w:t>
      </w:r>
      <w:r w:rsidR="0065477B">
        <w:rPr>
          <w:lang w:val="en-GB"/>
        </w:rPr>
        <w:t>-</w:t>
      </w:r>
      <w:r w:rsidR="008649C1">
        <w:rPr>
          <w:lang w:val="en-GB"/>
        </w:rPr>
        <w:t>cessation programs</w:t>
      </w:r>
      <w:r w:rsidR="0005522D">
        <w:rPr>
          <w:lang w:val="en-GB"/>
        </w:rPr>
        <w:t xml:space="preserve"> </w:t>
      </w:r>
      <w:r w:rsidR="00BA2D5A" w:rsidRPr="00B90D34">
        <w:rPr>
          <w:lang w:val="en-GB"/>
        </w:rPr>
        <w:t>[17</w:t>
      </w:r>
      <w:proofErr w:type="gramStart"/>
      <w:r w:rsidR="00BA2D5A" w:rsidRPr="00B90D34">
        <w:rPr>
          <w:lang w:val="en-GB"/>
        </w:rPr>
        <w:t>,19,11,15,14</w:t>
      </w:r>
      <w:proofErr w:type="gramEnd"/>
      <w:r w:rsidR="00BA2D5A" w:rsidRPr="00B90D34">
        <w:rPr>
          <w:lang w:val="en-GB"/>
        </w:rPr>
        <w:t>]</w:t>
      </w:r>
      <w:r w:rsidR="00C31552">
        <w:rPr>
          <w:lang w:val="en-GB"/>
        </w:rPr>
        <w:t>.</w:t>
      </w:r>
      <w:r w:rsidR="00676FB5">
        <w:rPr>
          <w:lang w:val="en-GB"/>
        </w:rPr>
        <w:t xml:space="preserve"> Such interventions </w:t>
      </w:r>
      <w:r w:rsidR="001C67B3">
        <w:rPr>
          <w:lang w:val="en-GB"/>
        </w:rPr>
        <w:t>are typically divided into</w:t>
      </w:r>
      <w:r w:rsidR="00676FB5">
        <w:rPr>
          <w:lang w:val="en-GB"/>
        </w:rPr>
        <w:t xml:space="preserve"> pre-quit and post-quit </w:t>
      </w:r>
      <w:r w:rsidR="00966111">
        <w:rPr>
          <w:lang w:val="en-GB"/>
        </w:rPr>
        <w:t>phases</w:t>
      </w:r>
      <w:r w:rsidR="00676FB5">
        <w:rPr>
          <w:lang w:val="en-GB"/>
        </w:rPr>
        <w:t xml:space="preserve">. </w:t>
      </w:r>
      <w:r w:rsidR="00DB6D15">
        <w:rPr>
          <w:lang w:val="en-GB"/>
        </w:rPr>
        <w:t xml:space="preserve">There is a lack </w:t>
      </w:r>
      <w:r w:rsidR="00D54D16">
        <w:rPr>
          <w:lang w:val="en-GB"/>
        </w:rPr>
        <w:t>of</w:t>
      </w:r>
      <w:r w:rsidR="00DB6D15">
        <w:rPr>
          <w:lang w:val="en-GB"/>
        </w:rPr>
        <w:t xml:space="preserve"> studies investigating engagement with a</w:t>
      </w:r>
      <w:r w:rsidR="005D73EF">
        <w:rPr>
          <w:lang w:val="en-GB"/>
        </w:rPr>
        <w:t xml:space="preserve"> </w:t>
      </w:r>
      <w:r w:rsidR="00C31552">
        <w:rPr>
          <w:lang w:val="en-GB"/>
        </w:rPr>
        <w:t>mobile phone</w:t>
      </w:r>
      <w:r w:rsidR="00DB6D15">
        <w:rPr>
          <w:lang w:val="en-GB"/>
        </w:rPr>
        <w:t>-based intervention</w:t>
      </w:r>
      <w:r w:rsidR="00676FB5">
        <w:rPr>
          <w:lang w:val="en-GB"/>
        </w:rPr>
        <w:t xml:space="preserve"> that </w:t>
      </w:r>
      <w:r w:rsidR="005D73EF">
        <w:rPr>
          <w:lang w:val="en-GB"/>
        </w:rPr>
        <w:t>was matched to stages of change and did not require subjects to set a quit</w:t>
      </w:r>
      <w:r w:rsidR="0065477B">
        <w:rPr>
          <w:lang w:val="en-GB"/>
        </w:rPr>
        <w:t xml:space="preserve"> </w:t>
      </w:r>
      <w:r w:rsidR="005D73EF">
        <w:rPr>
          <w:lang w:val="en-GB"/>
        </w:rPr>
        <w:t>date</w:t>
      </w:r>
      <w:r w:rsidR="00DB6D15">
        <w:rPr>
          <w:lang w:val="en-GB"/>
        </w:rPr>
        <w:t>.</w:t>
      </w:r>
      <w:r w:rsidR="005D73EF">
        <w:rPr>
          <w:lang w:val="en-GB"/>
        </w:rPr>
        <w:t xml:space="preserve"> </w:t>
      </w:r>
      <w:r w:rsidR="00966111">
        <w:rPr>
          <w:lang w:val="en-GB"/>
        </w:rPr>
        <w:t xml:space="preserve">This is of special </w:t>
      </w:r>
      <w:r w:rsidR="00E91A9D">
        <w:rPr>
          <w:lang w:val="en-GB"/>
        </w:rPr>
        <w:t>interest</w:t>
      </w:r>
      <w:r w:rsidR="00966111">
        <w:rPr>
          <w:lang w:val="en-GB"/>
        </w:rPr>
        <w:t xml:space="preserve">, since most adult </w:t>
      </w:r>
      <w:r w:rsidR="00E91A9D">
        <w:rPr>
          <w:lang w:val="en-GB"/>
        </w:rPr>
        <w:t>and</w:t>
      </w:r>
      <w:r w:rsidR="00966111">
        <w:rPr>
          <w:lang w:val="en-GB"/>
        </w:rPr>
        <w:t xml:space="preserve"> adolescent smokers do not report an</w:t>
      </w:r>
      <w:r w:rsidR="00D54D16">
        <w:rPr>
          <w:lang w:val="en-GB"/>
        </w:rPr>
        <w:t>y</w:t>
      </w:r>
      <w:r w:rsidR="00966111">
        <w:rPr>
          <w:lang w:val="en-GB"/>
        </w:rPr>
        <w:t xml:space="preserve"> serious intention to quit within the next </w:t>
      </w:r>
      <w:r w:rsidR="00E91A9D">
        <w:rPr>
          <w:lang w:val="en-GB"/>
        </w:rPr>
        <w:t>month</w:t>
      </w:r>
      <w:r w:rsidR="00966111">
        <w:rPr>
          <w:lang w:val="en-GB"/>
        </w:rPr>
        <w:t xml:space="preserve"> </w:t>
      </w:r>
      <w:r w:rsidR="00E91A9D" w:rsidRPr="003233E2">
        <w:rPr>
          <w:lang w:val="en-GB"/>
        </w:rPr>
        <w:lastRenderedPageBreak/>
        <w:t>[10</w:t>
      </w:r>
      <w:proofErr w:type="gramStart"/>
      <w:r w:rsidR="00E91A9D" w:rsidRPr="003233E2">
        <w:rPr>
          <w:lang w:val="en-GB"/>
        </w:rPr>
        <w:t>,21</w:t>
      </w:r>
      <w:proofErr w:type="gramEnd"/>
      <w:r w:rsidR="00E91A9D" w:rsidRPr="003233E2">
        <w:rPr>
          <w:lang w:val="en-GB"/>
        </w:rPr>
        <w:t>]</w:t>
      </w:r>
      <w:r w:rsidR="00966111">
        <w:rPr>
          <w:lang w:val="en-GB"/>
        </w:rPr>
        <w:t>.</w:t>
      </w:r>
      <w:r w:rsidR="00DB6D15">
        <w:rPr>
          <w:lang w:val="en-GB"/>
        </w:rPr>
        <w:t xml:space="preserve"> </w:t>
      </w:r>
      <w:r w:rsidR="0082264D">
        <w:rPr>
          <w:lang w:val="en-GB"/>
        </w:rPr>
        <w:t>(3)</w:t>
      </w:r>
      <w:r w:rsidR="001C67B3">
        <w:rPr>
          <w:lang w:val="en-GB"/>
        </w:rPr>
        <w:t xml:space="preserve"> </w:t>
      </w:r>
      <w:r w:rsidR="00D54D16">
        <w:rPr>
          <w:lang w:val="en-GB"/>
        </w:rPr>
        <w:t>On the other hand, s</w:t>
      </w:r>
      <w:r w:rsidR="001938F5">
        <w:rPr>
          <w:lang w:val="en-GB"/>
        </w:rPr>
        <w:t xml:space="preserve">mokers </w:t>
      </w:r>
      <w:r w:rsidR="00D54D16">
        <w:rPr>
          <w:lang w:val="en-GB"/>
        </w:rPr>
        <w:t xml:space="preserve">who </w:t>
      </w:r>
      <w:proofErr w:type="spellStart"/>
      <w:r w:rsidR="001938F5">
        <w:rPr>
          <w:lang w:val="en-GB"/>
        </w:rPr>
        <w:t>enroll</w:t>
      </w:r>
      <w:proofErr w:type="spellEnd"/>
      <w:r w:rsidR="001938F5">
        <w:rPr>
          <w:lang w:val="en-GB"/>
        </w:rPr>
        <w:t xml:space="preserve"> in such cessation programs already </w:t>
      </w:r>
      <w:r w:rsidR="00D54D16">
        <w:rPr>
          <w:lang w:val="en-GB"/>
        </w:rPr>
        <w:t xml:space="preserve">tend to </w:t>
      </w:r>
      <w:r w:rsidR="00BD0938">
        <w:rPr>
          <w:lang w:val="en-GB"/>
        </w:rPr>
        <w:t>report</w:t>
      </w:r>
      <w:r w:rsidR="00407E93">
        <w:rPr>
          <w:lang w:val="en-GB"/>
        </w:rPr>
        <w:t xml:space="preserve"> </w:t>
      </w:r>
      <w:r w:rsidR="001938F5">
        <w:rPr>
          <w:lang w:val="en-GB"/>
        </w:rPr>
        <w:t xml:space="preserve">an </w:t>
      </w:r>
      <w:r w:rsidR="008649C1">
        <w:rPr>
          <w:lang w:val="en-GB"/>
        </w:rPr>
        <w:t>intention to quit smoking</w:t>
      </w:r>
      <w:r w:rsidR="00BA6068">
        <w:rPr>
          <w:lang w:val="en-GB"/>
        </w:rPr>
        <w:t xml:space="preserve"> </w:t>
      </w:r>
      <w:r w:rsidR="00BA2D5A" w:rsidRPr="00BA2D5A">
        <w:rPr>
          <w:lang w:val="en-GB"/>
        </w:rPr>
        <w:t>[14</w:t>
      </w:r>
      <w:proofErr w:type="gramStart"/>
      <w:r w:rsidR="00BA2D5A" w:rsidRPr="00BA2D5A">
        <w:rPr>
          <w:lang w:val="en-GB"/>
        </w:rPr>
        <w:t>,15,19</w:t>
      </w:r>
      <w:proofErr w:type="gramEnd"/>
      <w:r w:rsidR="00BA2D5A" w:rsidRPr="00BA2D5A">
        <w:rPr>
          <w:lang w:val="en-GB"/>
        </w:rPr>
        <w:t>]</w:t>
      </w:r>
      <w:r w:rsidR="00C31552">
        <w:rPr>
          <w:lang w:val="en-GB"/>
        </w:rPr>
        <w:t>, which can lead to a self-selection of more engaged, and thus more successful subjects</w:t>
      </w:r>
      <w:r w:rsidR="0005522D">
        <w:rPr>
          <w:lang w:val="en-GB"/>
        </w:rPr>
        <w:t>. To our knowledge</w:t>
      </w:r>
      <w:r w:rsidR="00D54D16">
        <w:rPr>
          <w:lang w:val="en-GB"/>
        </w:rPr>
        <w:t>,</w:t>
      </w:r>
      <w:r w:rsidR="0005522D">
        <w:rPr>
          <w:lang w:val="en-GB"/>
        </w:rPr>
        <w:t xml:space="preserve"> </w:t>
      </w:r>
      <w:r w:rsidR="00D06AFB">
        <w:rPr>
          <w:lang w:val="en-GB"/>
        </w:rPr>
        <w:t xml:space="preserve">no studies </w:t>
      </w:r>
      <w:r w:rsidR="00D54D16">
        <w:rPr>
          <w:lang w:val="en-GB"/>
        </w:rPr>
        <w:t xml:space="preserve">have </w:t>
      </w:r>
      <w:r w:rsidR="00D06AFB">
        <w:rPr>
          <w:lang w:val="en-GB"/>
        </w:rPr>
        <w:t>investigat</w:t>
      </w:r>
      <w:r w:rsidR="00D54D16">
        <w:rPr>
          <w:lang w:val="en-GB"/>
        </w:rPr>
        <w:t>ed</w:t>
      </w:r>
      <w:r w:rsidR="00D06AFB">
        <w:rPr>
          <w:lang w:val="en-GB"/>
        </w:rPr>
        <w:t xml:space="preserve"> engagement </w:t>
      </w:r>
      <w:r w:rsidR="00DB56A3">
        <w:rPr>
          <w:lang w:val="en-GB"/>
        </w:rPr>
        <w:t xml:space="preserve">with a mobile phone-based </w:t>
      </w:r>
      <w:r w:rsidR="00B346A5">
        <w:rPr>
          <w:lang w:val="en-GB"/>
        </w:rPr>
        <w:t xml:space="preserve">cessation program </w:t>
      </w:r>
      <w:r w:rsidR="00D54D16">
        <w:rPr>
          <w:lang w:val="en-GB"/>
        </w:rPr>
        <w:t>in</w:t>
      </w:r>
      <w:r w:rsidR="00D06AFB">
        <w:rPr>
          <w:lang w:val="en-GB"/>
        </w:rPr>
        <w:t xml:space="preserve"> </w:t>
      </w:r>
      <w:r w:rsidR="0049048D">
        <w:rPr>
          <w:lang w:val="en-GB"/>
        </w:rPr>
        <w:t>proactively</w:t>
      </w:r>
      <w:r w:rsidR="00D54D16">
        <w:rPr>
          <w:lang w:val="en-GB"/>
        </w:rPr>
        <w:t>-</w:t>
      </w:r>
      <w:r w:rsidR="0049048D">
        <w:rPr>
          <w:lang w:val="en-GB"/>
        </w:rPr>
        <w:t>recruited</w:t>
      </w:r>
      <w:r w:rsidR="00DB56A3">
        <w:rPr>
          <w:lang w:val="en-GB"/>
        </w:rPr>
        <w:t xml:space="preserve"> </w:t>
      </w:r>
      <w:r w:rsidR="00D06AFB">
        <w:rPr>
          <w:lang w:val="en-GB"/>
        </w:rPr>
        <w:t>smokers</w:t>
      </w:r>
      <w:r w:rsidR="00DB56A3">
        <w:rPr>
          <w:lang w:val="en-GB"/>
        </w:rPr>
        <w:t xml:space="preserve"> </w:t>
      </w:r>
      <w:r w:rsidR="00D54D16">
        <w:rPr>
          <w:lang w:val="en-GB"/>
        </w:rPr>
        <w:t>at</w:t>
      </w:r>
      <w:r w:rsidR="00BF13D2">
        <w:rPr>
          <w:lang w:val="en-GB"/>
        </w:rPr>
        <w:t xml:space="preserve"> different stage</w:t>
      </w:r>
      <w:r w:rsidR="0065477B">
        <w:rPr>
          <w:lang w:val="en-GB"/>
        </w:rPr>
        <w:t>s</w:t>
      </w:r>
      <w:r w:rsidR="00BF13D2">
        <w:rPr>
          <w:lang w:val="en-GB"/>
        </w:rPr>
        <w:t xml:space="preserve"> of change</w:t>
      </w:r>
      <w:r w:rsidR="00DB56A3">
        <w:rPr>
          <w:lang w:val="en-GB"/>
        </w:rPr>
        <w:t xml:space="preserve">. </w:t>
      </w:r>
    </w:p>
    <w:p w14:paraId="3E27F739" w14:textId="76943D6C" w:rsidR="00A15AA2" w:rsidRDefault="00104413" w:rsidP="00B67158">
      <w:pPr>
        <w:autoSpaceDE w:val="0"/>
        <w:autoSpaceDN w:val="0"/>
        <w:adjustRightInd w:val="0"/>
        <w:spacing w:line="480" w:lineRule="auto"/>
        <w:ind w:firstLine="709"/>
        <w:rPr>
          <w:lang w:val="en-GB"/>
        </w:rPr>
      </w:pPr>
      <w:r>
        <w:rPr>
          <w:lang w:val="en-GB"/>
        </w:rPr>
        <w:t>T</w:t>
      </w:r>
      <w:r w:rsidR="00DE175C">
        <w:rPr>
          <w:lang w:val="en-GB"/>
        </w:rPr>
        <w:t>hus, the current study aim</w:t>
      </w:r>
      <w:r w:rsidR="00D54D16">
        <w:rPr>
          <w:lang w:val="en-GB"/>
        </w:rPr>
        <w:t>ed</w:t>
      </w:r>
      <w:r w:rsidR="00DE175C">
        <w:rPr>
          <w:lang w:val="en-GB"/>
        </w:rPr>
        <w:t xml:space="preserve"> </w:t>
      </w:r>
      <w:r w:rsidR="00D54D16">
        <w:rPr>
          <w:lang w:val="en-GB"/>
        </w:rPr>
        <w:t xml:space="preserve">to </w:t>
      </w:r>
      <w:r w:rsidR="00DE175C">
        <w:rPr>
          <w:lang w:val="en-GB"/>
        </w:rPr>
        <w:t>examin</w:t>
      </w:r>
      <w:r w:rsidR="00D54D16">
        <w:rPr>
          <w:lang w:val="en-GB"/>
        </w:rPr>
        <w:t>e</w:t>
      </w:r>
      <w:r w:rsidR="00DE175C">
        <w:rPr>
          <w:lang w:val="en-GB"/>
        </w:rPr>
        <w:t xml:space="preserve"> </w:t>
      </w:r>
      <w:r w:rsidR="00A703FC">
        <w:rPr>
          <w:lang w:val="en-GB"/>
        </w:rPr>
        <w:t>trajectories</w:t>
      </w:r>
      <w:r>
        <w:rPr>
          <w:lang w:val="en-GB"/>
        </w:rPr>
        <w:t xml:space="preserve"> of program </w:t>
      </w:r>
      <w:r w:rsidR="00AC6CA9">
        <w:rPr>
          <w:lang w:val="en-GB"/>
        </w:rPr>
        <w:t>engagement</w:t>
      </w:r>
      <w:r>
        <w:rPr>
          <w:lang w:val="en-GB"/>
        </w:rPr>
        <w:t xml:space="preserve"> associated with long-term outcome</w:t>
      </w:r>
      <w:r w:rsidR="0065477B">
        <w:rPr>
          <w:lang w:val="en-GB"/>
        </w:rPr>
        <w:t>s</w:t>
      </w:r>
      <w:r>
        <w:rPr>
          <w:lang w:val="en-GB"/>
        </w:rPr>
        <w:t xml:space="preserve"> </w:t>
      </w:r>
      <w:r w:rsidR="00D54D16">
        <w:rPr>
          <w:lang w:val="en-GB"/>
        </w:rPr>
        <w:t xml:space="preserve">within </w:t>
      </w:r>
      <w:r>
        <w:rPr>
          <w:lang w:val="en-GB"/>
        </w:rPr>
        <w:t xml:space="preserve">a randomized controlled trial </w:t>
      </w:r>
      <w:r w:rsidR="00D54D16">
        <w:rPr>
          <w:lang w:val="en-GB"/>
        </w:rPr>
        <w:t>assessing</w:t>
      </w:r>
      <w:r>
        <w:rPr>
          <w:lang w:val="en-GB"/>
        </w:rPr>
        <w:t xml:space="preserve"> a fully</w:t>
      </w:r>
      <w:r w:rsidR="00D54D16">
        <w:rPr>
          <w:lang w:val="en-GB"/>
        </w:rPr>
        <w:t>-</w:t>
      </w:r>
      <w:r>
        <w:rPr>
          <w:lang w:val="en-GB"/>
        </w:rPr>
        <w:t>automated, m</w:t>
      </w:r>
      <w:r w:rsidR="00A703FC">
        <w:rPr>
          <w:lang w:val="en-GB"/>
        </w:rPr>
        <w:t xml:space="preserve">obile phone-based program for young smokers that was based on the Health Action Process Approach (HAPA) </w:t>
      </w:r>
      <w:r w:rsidR="0065477B">
        <w:rPr>
          <w:lang w:val="en-GB"/>
        </w:rPr>
        <w:t xml:space="preserve">stages of change model </w:t>
      </w:r>
      <w:r w:rsidR="00E91A9D" w:rsidRPr="00B67158">
        <w:rPr>
          <w:lang w:val="en-GB"/>
        </w:rPr>
        <w:t>[22]</w:t>
      </w:r>
      <w:r w:rsidR="00A703FC">
        <w:rPr>
          <w:lang w:val="en-GB"/>
        </w:rPr>
        <w:t xml:space="preserve">. Factors that predict </w:t>
      </w:r>
      <w:r w:rsidR="00AC6CA9">
        <w:rPr>
          <w:lang w:val="en-GB"/>
        </w:rPr>
        <w:t>engagement</w:t>
      </w:r>
      <w:r w:rsidR="00A703FC">
        <w:rPr>
          <w:lang w:val="en-GB"/>
        </w:rPr>
        <w:t xml:space="preserve"> and completion of the </w:t>
      </w:r>
      <w:r w:rsidR="00D54D16">
        <w:rPr>
          <w:lang w:val="en-GB"/>
        </w:rPr>
        <w:t>three</w:t>
      </w:r>
      <w:r w:rsidR="00A703FC">
        <w:rPr>
          <w:lang w:val="en-GB"/>
        </w:rPr>
        <w:t xml:space="preserve">-month program were analysed to </w:t>
      </w:r>
      <w:r w:rsidR="00BF4792">
        <w:rPr>
          <w:lang w:val="en-GB"/>
        </w:rPr>
        <w:t xml:space="preserve">sort out for whom such programs still need to be improved. </w:t>
      </w:r>
      <w:r w:rsidR="001C67B3">
        <w:rPr>
          <w:lang w:val="en-GB"/>
        </w:rPr>
        <w:t xml:space="preserve">In addition, this study investigated </w:t>
      </w:r>
      <w:r w:rsidR="0065477B">
        <w:rPr>
          <w:lang w:val="en-GB"/>
        </w:rPr>
        <w:t>adolescents’</w:t>
      </w:r>
      <w:r w:rsidR="001C67B3">
        <w:rPr>
          <w:lang w:val="en-GB"/>
        </w:rPr>
        <w:t xml:space="preserve"> engagement with different features of a mobile phone-based intervention</w:t>
      </w:r>
      <w:r w:rsidR="0065477B">
        <w:rPr>
          <w:lang w:val="en-GB"/>
        </w:rPr>
        <w:t xml:space="preserve">, since identifying more and less influential components of such interventions </w:t>
      </w:r>
      <w:r w:rsidR="001C67B3">
        <w:rPr>
          <w:lang w:val="en-GB"/>
        </w:rPr>
        <w:t xml:space="preserve">has recently </w:t>
      </w:r>
      <w:r w:rsidR="0065477B">
        <w:rPr>
          <w:lang w:val="en-GB"/>
        </w:rPr>
        <w:t xml:space="preserve">been raised as a means </w:t>
      </w:r>
      <w:r w:rsidR="001C67B3">
        <w:rPr>
          <w:lang w:val="en-GB"/>
        </w:rPr>
        <w:t xml:space="preserve">to </w:t>
      </w:r>
      <w:r w:rsidR="0065477B">
        <w:rPr>
          <w:lang w:val="en-GB"/>
        </w:rPr>
        <w:t xml:space="preserve">help </w:t>
      </w:r>
      <w:r w:rsidR="001C67B3">
        <w:rPr>
          <w:lang w:val="en-GB"/>
        </w:rPr>
        <w:t xml:space="preserve">refine other health behaviour change programs </w:t>
      </w:r>
      <w:r w:rsidR="00E91A9D" w:rsidRPr="00E91A9D">
        <w:rPr>
          <w:lang w:val="en-GB"/>
        </w:rPr>
        <w:t>[23]</w:t>
      </w:r>
      <w:r w:rsidR="001C67B3">
        <w:rPr>
          <w:lang w:val="en-GB"/>
        </w:rPr>
        <w:t xml:space="preserve">. </w:t>
      </w:r>
      <w:r w:rsidR="00A703FC">
        <w:rPr>
          <w:lang w:val="en-GB"/>
        </w:rPr>
        <w:t xml:space="preserve"> </w:t>
      </w:r>
    </w:p>
    <w:p w14:paraId="1E441429" w14:textId="77777777" w:rsidR="007128C5" w:rsidRDefault="007128C5" w:rsidP="00E44542">
      <w:pPr>
        <w:autoSpaceDE w:val="0"/>
        <w:autoSpaceDN w:val="0"/>
        <w:adjustRightInd w:val="0"/>
        <w:spacing w:line="480" w:lineRule="auto"/>
        <w:rPr>
          <w:lang w:val="en-GB"/>
        </w:rPr>
      </w:pPr>
    </w:p>
    <w:p w14:paraId="34C62331" w14:textId="77777777" w:rsidR="00475AE7" w:rsidRPr="009E361E" w:rsidRDefault="00475AE7" w:rsidP="00475AE7">
      <w:pPr>
        <w:pStyle w:val="Listenabsatz"/>
        <w:numPr>
          <w:ilvl w:val="0"/>
          <w:numId w:val="32"/>
        </w:numPr>
        <w:spacing w:line="480" w:lineRule="auto"/>
        <w:rPr>
          <w:lang w:val="en-GB"/>
        </w:rPr>
      </w:pPr>
      <w:r w:rsidRPr="009E361E">
        <w:rPr>
          <w:lang w:val="en-GB"/>
        </w:rPr>
        <w:t>Methods</w:t>
      </w:r>
    </w:p>
    <w:p w14:paraId="3040CE6B" w14:textId="77777777" w:rsidR="00475AE7" w:rsidRPr="002840A4" w:rsidRDefault="00475AE7" w:rsidP="00475AE7">
      <w:pPr>
        <w:spacing w:line="480" w:lineRule="auto"/>
        <w:rPr>
          <w:i/>
          <w:lang w:val="en-GB"/>
        </w:rPr>
      </w:pPr>
      <w:r>
        <w:rPr>
          <w:i/>
          <w:lang w:val="en-GB"/>
        </w:rPr>
        <w:t>2.1 Participants and Procedure</w:t>
      </w:r>
      <w:r w:rsidR="00A21ACB">
        <w:rPr>
          <w:i/>
          <w:lang w:val="en-GB"/>
        </w:rPr>
        <w:t>s</w:t>
      </w:r>
      <w:r w:rsidRPr="002840A4">
        <w:rPr>
          <w:i/>
          <w:lang w:val="en-GB"/>
        </w:rPr>
        <w:t xml:space="preserve"> </w:t>
      </w:r>
    </w:p>
    <w:p w14:paraId="413B9A84" w14:textId="47CD312B" w:rsidR="008A2B6A" w:rsidRDefault="00475AE7" w:rsidP="001A244A">
      <w:pPr>
        <w:autoSpaceDE w:val="0"/>
        <w:autoSpaceDN w:val="0"/>
        <w:adjustRightInd w:val="0"/>
        <w:spacing w:line="480" w:lineRule="auto"/>
        <w:rPr>
          <w:lang w:val="en-GB"/>
        </w:rPr>
      </w:pPr>
      <w:r>
        <w:rPr>
          <w:lang w:val="en-GB"/>
        </w:rPr>
        <w:t xml:space="preserve">Data for this study were </w:t>
      </w:r>
      <w:r w:rsidR="0065477B">
        <w:rPr>
          <w:lang w:val="en-GB"/>
        </w:rPr>
        <w:t>extracted</w:t>
      </w:r>
      <w:r>
        <w:rPr>
          <w:lang w:val="en-GB"/>
        </w:rPr>
        <w:t xml:space="preserve"> from a two-arm, parallel-group, cluster-randomised controlled trial that used school class as the randomisation unit, as detailed elsewhere</w:t>
      </w:r>
      <w:r w:rsidR="00A86B28">
        <w:rPr>
          <w:lang w:val="en-GB"/>
        </w:rPr>
        <w:t xml:space="preserve"> </w:t>
      </w:r>
      <w:r w:rsidR="00E91A9D" w:rsidRPr="00E91A9D">
        <w:rPr>
          <w:lang w:val="en-GB"/>
        </w:rPr>
        <w:t>[24</w:t>
      </w:r>
      <w:proofErr w:type="gramStart"/>
      <w:r w:rsidR="00E91A9D" w:rsidRPr="00E91A9D">
        <w:rPr>
          <w:lang w:val="en-GB"/>
        </w:rPr>
        <w:t>,9</w:t>
      </w:r>
      <w:proofErr w:type="gramEnd"/>
      <w:r w:rsidR="00E91A9D" w:rsidRPr="00E91A9D">
        <w:rPr>
          <w:lang w:val="en-GB"/>
        </w:rPr>
        <w:t>]</w:t>
      </w:r>
      <w:r>
        <w:rPr>
          <w:lang w:val="en-GB"/>
        </w:rPr>
        <w:t xml:space="preserve">. </w:t>
      </w:r>
      <w:r w:rsidR="00771D17">
        <w:rPr>
          <w:lang w:val="en-GB"/>
        </w:rPr>
        <w:t>S</w:t>
      </w:r>
      <w:r w:rsidRPr="002840A4">
        <w:rPr>
          <w:lang w:val="en-GB"/>
        </w:rPr>
        <w:t xml:space="preserve">tudents in vocational </w:t>
      </w:r>
      <w:r w:rsidR="00016179">
        <w:rPr>
          <w:lang w:val="en-GB"/>
        </w:rPr>
        <w:t xml:space="preserve">or upper secondary </w:t>
      </w:r>
      <w:r w:rsidRPr="002840A4">
        <w:rPr>
          <w:lang w:val="en-GB"/>
        </w:rPr>
        <w:t xml:space="preserve">schools </w:t>
      </w:r>
      <w:r w:rsidR="00A71377">
        <w:rPr>
          <w:lang w:val="en-GB"/>
        </w:rPr>
        <w:t xml:space="preserve">in Switzerland were invited </w:t>
      </w:r>
      <w:r>
        <w:rPr>
          <w:lang w:val="en-GB"/>
        </w:rPr>
        <w:t>to participate</w:t>
      </w:r>
      <w:r w:rsidRPr="002840A4">
        <w:rPr>
          <w:lang w:val="en-GB"/>
        </w:rPr>
        <w:t xml:space="preserve"> </w:t>
      </w:r>
      <w:r>
        <w:rPr>
          <w:lang w:val="en-GB"/>
        </w:rPr>
        <w:t xml:space="preserve">in </w:t>
      </w:r>
      <w:r w:rsidR="0065477B">
        <w:rPr>
          <w:lang w:val="en-GB"/>
        </w:rPr>
        <w:t>a</w:t>
      </w:r>
      <w:r>
        <w:rPr>
          <w:lang w:val="en-GB"/>
        </w:rPr>
        <w:t xml:space="preserve"> technology-based program called </w:t>
      </w:r>
      <w:proofErr w:type="spellStart"/>
      <w:r w:rsidRPr="00692BC1">
        <w:rPr>
          <w:i/>
          <w:lang w:val="en-GB"/>
        </w:rPr>
        <w:t>MobileCoach</w:t>
      </w:r>
      <w:proofErr w:type="spellEnd"/>
      <w:r w:rsidRPr="00692BC1">
        <w:rPr>
          <w:i/>
          <w:lang w:val="en-GB"/>
        </w:rPr>
        <w:t xml:space="preserve"> </w:t>
      </w:r>
      <w:r w:rsidR="00A71377">
        <w:rPr>
          <w:i/>
          <w:lang w:val="en-GB"/>
        </w:rPr>
        <w:t>Tobacco</w:t>
      </w:r>
      <w:r w:rsidR="00B03407">
        <w:rPr>
          <w:i/>
          <w:lang w:val="en-GB"/>
        </w:rPr>
        <w:t xml:space="preserve"> </w:t>
      </w:r>
      <w:r w:rsidR="00B03407">
        <w:rPr>
          <w:lang w:val="en-GB"/>
        </w:rPr>
        <w:t xml:space="preserve">if they (1) either smoked on a daily or occasional </w:t>
      </w:r>
      <w:r w:rsidR="00464D99" w:rsidRPr="00464D99">
        <w:rPr>
          <w:lang w:val="en-GB"/>
        </w:rPr>
        <w:t>basis</w:t>
      </w:r>
      <w:r w:rsidR="00B03407">
        <w:rPr>
          <w:lang w:val="en-GB"/>
        </w:rPr>
        <w:t xml:space="preserve"> (at least 4 cigarettes in the preceding month and at least one cigarette during the preceding week)</w:t>
      </w:r>
      <w:r w:rsidR="00910FB1">
        <w:rPr>
          <w:lang w:val="en-GB"/>
        </w:rPr>
        <w:t>,</w:t>
      </w:r>
      <w:r w:rsidR="00B03407">
        <w:rPr>
          <w:lang w:val="en-GB"/>
        </w:rPr>
        <w:t xml:space="preserve"> and (2) </w:t>
      </w:r>
      <w:r w:rsidR="00464D99">
        <w:rPr>
          <w:lang w:val="en-GB"/>
        </w:rPr>
        <w:t>owned</w:t>
      </w:r>
      <w:r w:rsidR="00B03407">
        <w:rPr>
          <w:lang w:val="en-GB"/>
        </w:rPr>
        <w:t xml:space="preserve"> </w:t>
      </w:r>
      <w:r w:rsidR="00910FB1">
        <w:rPr>
          <w:lang w:val="en-GB"/>
        </w:rPr>
        <w:t xml:space="preserve">a </w:t>
      </w:r>
      <w:r w:rsidR="00B03407">
        <w:rPr>
          <w:lang w:val="en-GB"/>
        </w:rPr>
        <w:t>mobile phone</w:t>
      </w:r>
      <w:r>
        <w:rPr>
          <w:i/>
          <w:lang w:val="en-GB"/>
        </w:rPr>
        <w:t>.</w:t>
      </w:r>
      <w:r w:rsidR="006E6B7E">
        <w:rPr>
          <w:lang w:val="en-GB"/>
        </w:rPr>
        <w:t xml:space="preserve"> Participating students were </w:t>
      </w:r>
      <w:r w:rsidR="0065477B">
        <w:rPr>
          <w:lang w:val="en-GB"/>
        </w:rPr>
        <w:t>reimbursed</w:t>
      </w:r>
      <w:r w:rsidR="006E6B7E">
        <w:rPr>
          <w:lang w:val="en-GB"/>
        </w:rPr>
        <w:t xml:space="preserve"> 10 Swiss francs </w:t>
      </w:r>
      <w:r w:rsidR="008E37E1">
        <w:rPr>
          <w:lang w:val="en-GB"/>
        </w:rPr>
        <w:t xml:space="preserve">for participating </w:t>
      </w:r>
      <w:r w:rsidR="00A21ACB">
        <w:rPr>
          <w:lang w:val="en-GB"/>
        </w:rPr>
        <w:t>in</w:t>
      </w:r>
      <w:r w:rsidR="008E37E1">
        <w:rPr>
          <w:lang w:val="en-GB"/>
        </w:rPr>
        <w:t xml:space="preserve"> </w:t>
      </w:r>
      <w:r w:rsidR="00A21ACB">
        <w:rPr>
          <w:lang w:val="en-GB"/>
        </w:rPr>
        <w:t xml:space="preserve">the </w:t>
      </w:r>
      <w:r w:rsidR="008E37E1">
        <w:rPr>
          <w:lang w:val="en-GB"/>
        </w:rPr>
        <w:t>baseline and follow-up assessment</w:t>
      </w:r>
      <w:r w:rsidR="00A21ACB">
        <w:rPr>
          <w:lang w:val="en-GB"/>
        </w:rPr>
        <w:t>s,</w:t>
      </w:r>
      <w:r w:rsidR="008E37E1">
        <w:rPr>
          <w:lang w:val="en-GB"/>
        </w:rPr>
        <w:t xml:space="preserve"> and with 0.5 Swiss francs for </w:t>
      </w:r>
      <w:r w:rsidR="00CE0D1C">
        <w:rPr>
          <w:lang w:val="en-GB"/>
        </w:rPr>
        <w:t xml:space="preserve">each of the 11 text message assessments </w:t>
      </w:r>
      <w:r w:rsidR="004463A9">
        <w:rPr>
          <w:lang w:val="en-GB"/>
        </w:rPr>
        <w:t>that they answered</w:t>
      </w:r>
      <w:r w:rsidR="00CE0D1C">
        <w:rPr>
          <w:lang w:val="en-GB"/>
        </w:rPr>
        <w:t xml:space="preserve"> within</w:t>
      </w:r>
      <w:r w:rsidR="008E37E1">
        <w:rPr>
          <w:lang w:val="en-GB"/>
        </w:rPr>
        <w:t xml:space="preserve"> the </w:t>
      </w:r>
      <w:proofErr w:type="spellStart"/>
      <w:r w:rsidR="008E37E1" w:rsidRPr="008E37E1">
        <w:rPr>
          <w:i/>
          <w:lang w:val="en-GB"/>
        </w:rPr>
        <w:t>MobileCoach</w:t>
      </w:r>
      <w:proofErr w:type="spellEnd"/>
      <w:r w:rsidR="008E37E1" w:rsidRPr="008E37E1">
        <w:rPr>
          <w:i/>
          <w:lang w:val="en-GB"/>
        </w:rPr>
        <w:t xml:space="preserve"> Tobacco</w:t>
      </w:r>
      <w:r w:rsidR="008E37E1">
        <w:rPr>
          <w:lang w:val="en-GB"/>
        </w:rPr>
        <w:t xml:space="preserve"> program.</w:t>
      </w:r>
      <w:r w:rsidR="006E6B7E">
        <w:rPr>
          <w:lang w:val="en-GB"/>
        </w:rPr>
        <w:t xml:space="preserve"> </w:t>
      </w:r>
    </w:p>
    <w:p w14:paraId="26A383E9" w14:textId="39294C23" w:rsidR="00D756F0" w:rsidRDefault="00FD08CE" w:rsidP="00B67158">
      <w:pPr>
        <w:autoSpaceDE w:val="0"/>
        <w:autoSpaceDN w:val="0"/>
        <w:adjustRightInd w:val="0"/>
        <w:spacing w:line="480" w:lineRule="auto"/>
        <w:ind w:firstLine="709"/>
        <w:rPr>
          <w:lang w:val="en-GB"/>
        </w:rPr>
      </w:pPr>
      <w:r>
        <w:rPr>
          <w:lang w:val="en-GB"/>
        </w:rPr>
        <w:lastRenderedPageBreak/>
        <w:t xml:space="preserve">In the original </w:t>
      </w:r>
      <w:r w:rsidR="0065477B">
        <w:rPr>
          <w:lang w:val="en-GB"/>
        </w:rPr>
        <w:t>trial</w:t>
      </w:r>
      <w:r>
        <w:rPr>
          <w:lang w:val="en-GB"/>
        </w:rPr>
        <w:t>, t</w:t>
      </w:r>
      <w:r w:rsidR="001A244A">
        <w:rPr>
          <w:lang w:val="en-GB"/>
        </w:rPr>
        <w:t xml:space="preserve">he efficacy of an integrated smoking cessation and alcohol intervention </w:t>
      </w:r>
      <w:r w:rsidR="008A2B6A">
        <w:rPr>
          <w:lang w:val="en-GB"/>
        </w:rPr>
        <w:t xml:space="preserve">(MCT+) </w:t>
      </w:r>
      <w:r>
        <w:rPr>
          <w:lang w:val="en-GB"/>
        </w:rPr>
        <w:t>was tested against</w:t>
      </w:r>
      <w:r w:rsidR="001A244A">
        <w:rPr>
          <w:lang w:val="en-GB"/>
        </w:rPr>
        <w:t xml:space="preserve"> a smoking cessation only intervention</w:t>
      </w:r>
      <w:r w:rsidR="008A2B6A">
        <w:rPr>
          <w:lang w:val="en-GB"/>
        </w:rPr>
        <w:t xml:space="preserve"> (MCT)</w:t>
      </w:r>
      <w:r w:rsidR="001A244A">
        <w:rPr>
          <w:lang w:val="en-GB"/>
        </w:rPr>
        <w:t xml:space="preserve"> for smoking cessation in adolescents. </w:t>
      </w:r>
      <w:r w:rsidR="008A2B6A">
        <w:rPr>
          <w:lang w:val="en-GB"/>
        </w:rPr>
        <w:t xml:space="preserve">A total of 1’471 students from 360 Swiss vocational school classes </w:t>
      </w:r>
      <w:r w:rsidR="002A1763">
        <w:rPr>
          <w:lang w:val="en-GB"/>
        </w:rPr>
        <w:t>participated in this study</w:t>
      </w:r>
      <w:r w:rsidR="00D66682">
        <w:rPr>
          <w:lang w:val="en-GB"/>
        </w:rPr>
        <w:t>. They</w:t>
      </w:r>
      <w:r w:rsidR="002A1763">
        <w:rPr>
          <w:lang w:val="en-GB"/>
        </w:rPr>
        <w:t xml:space="preserve"> were</w:t>
      </w:r>
      <w:r w:rsidR="008A2B6A">
        <w:rPr>
          <w:lang w:val="en-GB" w:eastAsia="de-CH"/>
        </w:rPr>
        <w:t xml:space="preserve"> randomly assigned to either the </w:t>
      </w:r>
      <w:r w:rsidR="002A1763">
        <w:rPr>
          <w:lang w:val="en-GB" w:eastAsia="de-CH"/>
        </w:rPr>
        <w:t>combined</w:t>
      </w:r>
      <w:r w:rsidR="008A2B6A">
        <w:rPr>
          <w:lang w:val="en-GB" w:eastAsia="de-CH"/>
        </w:rPr>
        <w:t xml:space="preserve"> program (MCT+, n= 730) or to the smoking cessation only program (MCT, n= 741). </w:t>
      </w:r>
      <w:r w:rsidR="005704C3" w:rsidRPr="00D66682">
        <w:rPr>
          <w:lang w:val="en-GB"/>
        </w:rPr>
        <w:t>The original study found no</w:t>
      </w:r>
      <w:r w:rsidR="00D756F0" w:rsidRPr="00D66682">
        <w:rPr>
          <w:lang w:val="en-GB"/>
        </w:rPr>
        <w:t xml:space="preserve"> significant</w:t>
      </w:r>
      <w:r w:rsidR="005704C3" w:rsidRPr="00D66682">
        <w:rPr>
          <w:lang w:val="en-GB"/>
        </w:rPr>
        <w:t xml:space="preserve"> difference between </w:t>
      </w:r>
      <w:r w:rsidR="00D66682">
        <w:rPr>
          <w:lang w:val="en-GB"/>
        </w:rPr>
        <w:t>the</w:t>
      </w:r>
      <w:r w:rsidR="005704C3" w:rsidRPr="00D66682">
        <w:rPr>
          <w:lang w:val="en-GB"/>
        </w:rPr>
        <w:t xml:space="preserve"> programs in </w:t>
      </w:r>
      <w:r w:rsidR="00A21ACB">
        <w:rPr>
          <w:lang w:val="en-GB"/>
        </w:rPr>
        <w:t xml:space="preserve">terms of </w:t>
      </w:r>
      <w:r w:rsidR="005704C3" w:rsidRPr="00D66682">
        <w:rPr>
          <w:lang w:val="en-GB"/>
        </w:rPr>
        <w:t xml:space="preserve">reducing </w:t>
      </w:r>
      <w:r w:rsidR="00D66682">
        <w:rPr>
          <w:lang w:val="en-GB"/>
        </w:rPr>
        <w:t xml:space="preserve">the </w:t>
      </w:r>
      <w:r w:rsidR="00A21ACB">
        <w:rPr>
          <w:lang w:val="en-GB"/>
        </w:rPr>
        <w:t xml:space="preserve">number </w:t>
      </w:r>
      <w:r w:rsidR="005704C3" w:rsidRPr="00D66682">
        <w:rPr>
          <w:lang w:val="en-GB"/>
        </w:rPr>
        <w:t xml:space="preserve">of cigarettes </w:t>
      </w:r>
      <w:r w:rsidR="0065477B">
        <w:rPr>
          <w:lang w:val="en-GB"/>
        </w:rPr>
        <w:t>used</w:t>
      </w:r>
      <w:r w:rsidR="0065477B" w:rsidRPr="00D66682">
        <w:rPr>
          <w:lang w:val="en-GB"/>
        </w:rPr>
        <w:t xml:space="preserve"> </w:t>
      </w:r>
      <w:r w:rsidR="005704C3" w:rsidRPr="00D66682">
        <w:rPr>
          <w:lang w:val="en-GB"/>
        </w:rPr>
        <w:t xml:space="preserve">per day </w:t>
      </w:r>
      <w:r w:rsidR="00163E89" w:rsidRPr="00D66682">
        <w:rPr>
          <w:lang w:val="en-GB"/>
        </w:rPr>
        <w:t>(MCT+ vs. MCT: - 2.</w:t>
      </w:r>
      <w:r w:rsidR="007738F0" w:rsidRPr="00D66682">
        <w:rPr>
          <w:lang w:val="en-GB"/>
        </w:rPr>
        <w:t>7 vs. -2.8)</w:t>
      </w:r>
      <w:r w:rsidR="00D66682">
        <w:rPr>
          <w:lang w:val="en-GB"/>
        </w:rPr>
        <w:t>,</w:t>
      </w:r>
      <w:r w:rsidR="007738F0" w:rsidRPr="00D66682">
        <w:rPr>
          <w:lang w:val="en-GB"/>
        </w:rPr>
        <w:t xml:space="preserve"> </w:t>
      </w:r>
      <w:r w:rsidR="00C36010" w:rsidRPr="00D66682">
        <w:rPr>
          <w:lang w:val="en-GB"/>
        </w:rPr>
        <w:t>n</w:t>
      </w:r>
      <w:r w:rsidR="005704C3" w:rsidRPr="00D66682">
        <w:rPr>
          <w:lang w:val="en-GB"/>
        </w:rPr>
        <w:t xml:space="preserve">or </w:t>
      </w:r>
      <w:r w:rsidR="00C36010" w:rsidRPr="00D66682">
        <w:rPr>
          <w:lang w:val="en-GB"/>
        </w:rPr>
        <w:t xml:space="preserve">in increasing </w:t>
      </w:r>
      <w:r w:rsidR="00D66682">
        <w:rPr>
          <w:lang w:val="en-GB"/>
        </w:rPr>
        <w:t xml:space="preserve">the </w:t>
      </w:r>
      <w:r w:rsidR="005704C3" w:rsidRPr="00D66682">
        <w:rPr>
          <w:lang w:val="en-GB"/>
        </w:rPr>
        <w:t xml:space="preserve">7-day point prevalence </w:t>
      </w:r>
      <w:r w:rsidR="00A21ACB">
        <w:rPr>
          <w:lang w:val="en-GB"/>
        </w:rPr>
        <w:t xml:space="preserve">of </w:t>
      </w:r>
      <w:r w:rsidR="005704C3" w:rsidRPr="00D66682">
        <w:rPr>
          <w:lang w:val="en-GB"/>
        </w:rPr>
        <w:t>smoking abstinence at follow-up</w:t>
      </w:r>
      <w:r w:rsidR="007738F0">
        <w:rPr>
          <w:lang w:val="en-GB"/>
        </w:rPr>
        <w:t xml:space="preserve"> (MCT+ vs. MCT: </w:t>
      </w:r>
      <w:r w:rsidR="00B1280D">
        <w:rPr>
          <w:lang w:val="en-GB"/>
        </w:rPr>
        <w:t>14.9% vs. 1</w:t>
      </w:r>
      <w:r w:rsidR="007738F0">
        <w:rPr>
          <w:lang w:val="en-GB"/>
        </w:rPr>
        <w:t>4</w:t>
      </w:r>
      <w:r w:rsidR="00B1280D">
        <w:rPr>
          <w:lang w:val="en-GB"/>
        </w:rPr>
        <w:t>.0</w:t>
      </w:r>
      <w:r w:rsidR="007738F0">
        <w:rPr>
          <w:lang w:val="en-GB"/>
        </w:rPr>
        <w:t>%)</w:t>
      </w:r>
      <w:r w:rsidR="00C36010">
        <w:rPr>
          <w:lang w:val="en-GB"/>
        </w:rPr>
        <w:t xml:space="preserve">. </w:t>
      </w:r>
    </w:p>
    <w:p w14:paraId="6A083FD5" w14:textId="333470B1" w:rsidR="006E6B7E" w:rsidRPr="002840A4" w:rsidRDefault="00C22BE3" w:rsidP="00B67158">
      <w:pPr>
        <w:spacing w:line="480" w:lineRule="auto"/>
        <w:ind w:firstLine="709"/>
        <w:rPr>
          <w:lang w:val="en-GB"/>
        </w:rPr>
      </w:pPr>
      <w:r>
        <w:rPr>
          <w:lang w:val="en-GB"/>
        </w:rPr>
        <w:t>The intervention was designed with</w:t>
      </w:r>
      <w:r w:rsidR="00A21ACB">
        <w:rPr>
          <w:lang w:val="en-GB"/>
        </w:rPr>
        <w:t>,</w:t>
      </w:r>
      <w:r>
        <w:rPr>
          <w:lang w:val="en-GB"/>
        </w:rPr>
        <w:t xml:space="preserve"> and triggered by</w:t>
      </w:r>
      <w:r w:rsidR="00A21ACB">
        <w:rPr>
          <w:lang w:val="en-GB"/>
        </w:rPr>
        <w:t>,</w:t>
      </w:r>
      <w:r>
        <w:rPr>
          <w:lang w:val="en-GB"/>
        </w:rPr>
        <w:t xml:space="preserve"> the open</w:t>
      </w:r>
      <w:r w:rsidR="00A21ACB">
        <w:rPr>
          <w:lang w:val="en-GB"/>
        </w:rPr>
        <w:t>-</w:t>
      </w:r>
      <w:r>
        <w:rPr>
          <w:lang w:val="en-GB"/>
        </w:rPr>
        <w:t xml:space="preserve">source behavioural intervention platform </w:t>
      </w:r>
      <w:proofErr w:type="spellStart"/>
      <w:r>
        <w:rPr>
          <w:lang w:val="en-GB"/>
        </w:rPr>
        <w:t>MobileCoach</w:t>
      </w:r>
      <w:proofErr w:type="spellEnd"/>
      <w:r>
        <w:rPr>
          <w:lang w:val="en-GB"/>
        </w:rPr>
        <w:t xml:space="preserve"> version 1.1 </w:t>
      </w:r>
      <w:r w:rsidR="00E91A9D" w:rsidRPr="00E91A9D">
        <w:rPr>
          <w:lang w:val="en-GB"/>
        </w:rPr>
        <w:t>[25]</w:t>
      </w:r>
      <w:r>
        <w:rPr>
          <w:lang w:val="en-GB"/>
        </w:rPr>
        <w:t xml:space="preserve">. </w:t>
      </w:r>
      <w:r w:rsidR="006E6B7E" w:rsidRPr="002840A4">
        <w:rPr>
          <w:lang w:val="en-GB"/>
        </w:rPr>
        <w:t xml:space="preserve">The </w:t>
      </w:r>
      <w:r w:rsidR="006E6B7E">
        <w:rPr>
          <w:lang w:val="en-GB"/>
        </w:rPr>
        <w:t xml:space="preserve">original </w:t>
      </w:r>
      <w:r w:rsidR="006E6B7E" w:rsidRPr="002840A4">
        <w:rPr>
          <w:lang w:val="en-GB"/>
        </w:rPr>
        <w:t xml:space="preserve">study protocol was approved by the ethics committee of the </w:t>
      </w:r>
      <w:r w:rsidR="006E6B7E">
        <w:rPr>
          <w:lang w:val="en-GB"/>
        </w:rPr>
        <w:t xml:space="preserve">Faculty of Philosophy </w:t>
      </w:r>
      <w:r w:rsidR="006E6B7E" w:rsidRPr="002840A4">
        <w:rPr>
          <w:lang w:val="en-GB"/>
        </w:rPr>
        <w:t>at the University of Zurich, Switzerland (date of approval: 24 June, 2014). The study was registered at Current Controlled Trials ISRCTN (</w:t>
      </w:r>
      <w:r w:rsidR="006E6B7E" w:rsidRPr="007A0A66">
        <w:rPr>
          <w:lang w:val="en-GB"/>
        </w:rPr>
        <w:t>ISRCTN02427446</w:t>
      </w:r>
      <w:r w:rsidR="006E6B7E" w:rsidRPr="002840A4">
        <w:rPr>
          <w:lang w:val="en-GB"/>
        </w:rPr>
        <w:t xml:space="preserve">, assigned </w:t>
      </w:r>
      <w:r w:rsidR="006E6B7E">
        <w:rPr>
          <w:lang w:val="en-GB"/>
        </w:rPr>
        <w:t>8</w:t>
      </w:r>
      <w:r w:rsidR="006E6B7E" w:rsidRPr="002840A4">
        <w:rPr>
          <w:lang w:val="en-GB"/>
        </w:rPr>
        <w:t xml:space="preserve"> </w:t>
      </w:r>
      <w:r w:rsidR="006E6B7E">
        <w:rPr>
          <w:lang w:val="en-GB"/>
        </w:rPr>
        <w:t>September</w:t>
      </w:r>
      <w:r w:rsidR="006E6B7E" w:rsidRPr="002840A4">
        <w:rPr>
          <w:lang w:val="en-GB"/>
        </w:rPr>
        <w:t xml:space="preserve"> 2014)</w:t>
      </w:r>
      <w:r w:rsidR="006E6B7E">
        <w:rPr>
          <w:lang w:val="en-GB"/>
        </w:rPr>
        <w:t xml:space="preserve"> and </w:t>
      </w:r>
      <w:r w:rsidR="006E6B7E" w:rsidRPr="002840A4">
        <w:rPr>
          <w:lang w:val="en-GB"/>
        </w:rPr>
        <w:t xml:space="preserve">executed in </w:t>
      </w:r>
      <w:r w:rsidR="006E6B7E">
        <w:rPr>
          <w:lang w:val="en-GB"/>
        </w:rPr>
        <w:t xml:space="preserve">full </w:t>
      </w:r>
      <w:r w:rsidR="006E6B7E" w:rsidRPr="002840A4">
        <w:rPr>
          <w:lang w:val="en-GB"/>
        </w:rPr>
        <w:t xml:space="preserve">compliance with the Declaration of Helsinki. </w:t>
      </w:r>
    </w:p>
    <w:p w14:paraId="5985C570" w14:textId="77777777" w:rsidR="006E6B7E" w:rsidRDefault="006E6B7E" w:rsidP="001A244A">
      <w:pPr>
        <w:autoSpaceDE w:val="0"/>
        <w:autoSpaceDN w:val="0"/>
        <w:adjustRightInd w:val="0"/>
        <w:spacing w:line="480" w:lineRule="auto"/>
        <w:rPr>
          <w:lang w:val="en-GB"/>
        </w:rPr>
      </w:pPr>
    </w:p>
    <w:p w14:paraId="7BF44B93" w14:textId="77777777" w:rsidR="006E6B7E" w:rsidRPr="006E6B7E" w:rsidRDefault="006E6B7E" w:rsidP="006E6B7E">
      <w:pPr>
        <w:spacing w:line="480" w:lineRule="auto"/>
        <w:rPr>
          <w:i/>
          <w:lang w:val="en-GB"/>
        </w:rPr>
      </w:pPr>
      <w:r>
        <w:rPr>
          <w:i/>
          <w:lang w:val="en-GB"/>
        </w:rPr>
        <w:t xml:space="preserve">2.2 Description of </w:t>
      </w:r>
      <w:proofErr w:type="spellStart"/>
      <w:r>
        <w:rPr>
          <w:i/>
          <w:lang w:val="en-GB"/>
        </w:rPr>
        <w:t>MobileCoach</w:t>
      </w:r>
      <w:proofErr w:type="spellEnd"/>
      <w:r>
        <w:rPr>
          <w:i/>
          <w:lang w:val="en-GB"/>
        </w:rPr>
        <w:t xml:space="preserve"> Tobacco</w:t>
      </w:r>
    </w:p>
    <w:p w14:paraId="66044A33" w14:textId="274AC0E2" w:rsidR="001A244A" w:rsidRDefault="001A244A" w:rsidP="001A244A">
      <w:pPr>
        <w:autoSpaceDE w:val="0"/>
        <w:autoSpaceDN w:val="0"/>
        <w:adjustRightInd w:val="0"/>
        <w:spacing w:line="480" w:lineRule="auto"/>
        <w:rPr>
          <w:lang w:val="en-GB"/>
        </w:rPr>
      </w:pPr>
      <w:r>
        <w:rPr>
          <w:lang w:val="en-GB"/>
        </w:rPr>
        <w:t xml:space="preserve">The </w:t>
      </w:r>
      <w:r w:rsidR="00D92857" w:rsidRPr="00D92857">
        <w:rPr>
          <w:lang w:val="en-GB"/>
        </w:rPr>
        <w:t>MCT+</w:t>
      </w:r>
      <w:r>
        <w:rPr>
          <w:lang w:val="en-GB"/>
        </w:rPr>
        <w:t xml:space="preserve"> </w:t>
      </w:r>
      <w:r w:rsidR="00552394">
        <w:rPr>
          <w:lang w:val="en-GB"/>
        </w:rPr>
        <w:t xml:space="preserve">program </w:t>
      </w:r>
      <w:r>
        <w:rPr>
          <w:lang w:val="en-GB"/>
        </w:rPr>
        <w:t>combined (1) tailored web-based feedback on individual drinking behaviour</w:t>
      </w:r>
      <w:r w:rsidR="00053981">
        <w:rPr>
          <w:lang w:val="en-GB"/>
        </w:rPr>
        <w:t>s</w:t>
      </w:r>
      <w:r>
        <w:rPr>
          <w:lang w:val="en-GB"/>
        </w:rPr>
        <w:t xml:space="preserve"> </w:t>
      </w:r>
      <w:r w:rsidR="00141E07">
        <w:rPr>
          <w:lang w:val="en-GB"/>
        </w:rPr>
        <w:t xml:space="preserve">delivered </w:t>
      </w:r>
      <w:r>
        <w:rPr>
          <w:lang w:val="en-GB"/>
        </w:rPr>
        <w:t>direct</w:t>
      </w:r>
      <w:r w:rsidR="00053981">
        <w:rPr>
          <w:lang w:val="en-GB"/>
        </w:rPr>
        <w:t>ly</w:t>
      </w:r>
      <w:r>
        <w:rPr>
          <w:lang w:val="en-GB"/>
        </w:rPr>
        <w:t xml:space="preserve"> after </w:t>
      </w:r>
      <w:r w:rsidR="00A74D64">
        <w:rPr>
          <w:lang w:val="en-GB"/>
        </w:rPr>
        <w:t xml:space="preserve">completion of the </w:t>
      </w:r>
      <w:r w:rsidR="00FD08CE">
        <w:rPr>
          <w:lang w:val="en-GB"/>
        </w:rPr>
        <w:t>baseline assessment</w:t>
      </w:r>
      <w:r w:rsidR="00552394">
        <w:rPr>
          <w:lang w:val="en-GB"/>
        </w:rPr>
        <w:t>;</w:t>
      </w:r>
      <w:r w:rsidR="00FD08CE">
        <w:rPr>
          <w:lang w:val="en-GB"/>
        </w:rPr>
        <w:t xml:space="preserve"> (2)</w:t>
      </w:r>
      <w:r>
        <w:rPr>
          <w:lang w:val="en-GB"/>
        </w:rPr>
        <w:t xml:space="preserve"> </w:t>
      </w:r>
      <w:r w:rsidRPr="00F25B29">
        <w:rPr>
          <w:lang w:val="en-GB"/>
        </w:rPr>
        <w:t xml:space="preserve">tailored mobile phone text messages to promote drinking within low-risk limits over a </w:t>
      </w:r>
      <w:r w:rsidR="00053981">
        <w:rPr>
          <w:lang w:val="en-GB"/>
        </w:rPr>
        <w:t>three</w:t>
      </w:r>
      <w:r w:rsidRPr="00F25B29">
        <w:rPr>
          <w:lang w:val="en-GB"/>
        </w:rPr>
        <w:t>-month period</w:t>
      </w:r>
      <w:r w:rsidR="00552394">
        <w:rPr>
          <w:lang w:val="en-GB"/>
        </w:rPr>
        <w:t>;</w:t>
      </w:r>
      <w:r w:rsidRPr="00F25B29">
        <w:rPr>
          <w:lang w:val="en-GB"/>
        </w:rPr>
        <w:t xml:space="preserve"> (3) tailored mobile phone text </w:t>
      </w:r>
      <w:r w:rsidRPr="00972B16">
        <w:rPr>
          <w:lang w:val="en-GB"/>
        </w:rPr>
        <w:t xml:space="preserve">messages to support smoking cessation for </w:t>
      </w:r>
      <w:r w:rsidR="00053981">
        <w:rPr>
          <w:lang w:val="en-GB"/>
        </w:rPr>
        <w:t>three</w:t>
      </w:r>
      <w:r w:rsidRPr="00972B16">
        <w:rPr>
          <w:lang w:val="en-GB"/>
        </w:rPr>
        <w:t xml:space="preserve"> months</w:t>
      </w:r>
      <w:r w:rsidR="00552394">
        <w:rPr>
          <w:lang w:val="en-GB"/>
        </w:rPr>
        <w:t>;</w:t>
      </w:r>
      <w:r w:rsidRPr="00972B16">
        <w:rPr>
          <w:lang w:val="en-GB"/>
        </w:rPr>
        <w:t xml:space="preserve"> and (4) the option of receiving </w:t>
      </w:r>
      <w:r w:rsidR="00141E07" w:rsidRPr="00972B16">
        <w:rPr>
          <w:lang w:val="en-GB"/>
        </w:rPr>
        <w:t>twice</w:t>
      </w:r>
      <w:r w:rsidRPr="00972B16">
        <w:rPr>
          <w:lang w:val="en-GB"/>
        </w:rPr>
        <w:t xml:space="preserve"> </w:t>
      </w:r>
      <w:r w:rsidR="001B2DD6" w:rsidRPr="00972B16">
        <w:rPr>
          <w:lang w:val="en-GB"/>
        </w:rPr>
        <w:t xml:space="preserve">daily </w:t>
      </w:r>
      <w:r w:rsidRPr="00972B16">
        <w:rPr>
          <w:lang w:val="en-GB"/>
        </w:rPr>
        <w:t>strategies for smoking cessation centred around a self-defined quit</w:t>
      </w:r>
      <w:r w:rsidR="00D92857" w:rsidRPr="00972B16">
        <w:rPr>
          <w:lang w:val="en-GB"/>
        </w:rPr>
        <w:t>-</w:t>
      </w:r>
      <w:r w:rsidRPr="00972B16">
        <w:rPr>
          <w:lang w:val="en-GB"/>
        </w:rPr>
        <w:t>date.</w:t>
      </w:r>
      <w:r>
        <w:rPr>
          <w:lang w:val="en-GB"/>
        </w:rPr>
        <w:t xml:space="preserve"> </w:t>
      </w:r>
      <w:r w:rsidR="00950C9C">
        <w:rPr>
          <w:lang w:val="en-GB"/>
        </w:rPr>
        <w:t>Only components (3) and (4) of the integrated intervention were delivered to p</w:t>
      </w:r>
      <w:r w:rsidRPr="00F25B29">
        <w:rPr>
          <w:lang w:val="en-GB"/>
        </w:rPr>
        <w:t xml:space="preserve">articipants in the </w:t>
      </w:r>
      <w:r w:rsidR="00D92857">
        <w:rPr>
          <w:lang w:val="en-GB"/>
        </w:rPr>
        <w:t xml:space="preserve">MCT </w:t>
      </w:r>
      <w:r w:rsidR="00053981">
        <w:rPr>
          <w:lang w:val="en-GB"/>
        </w:rPr>
        <w:t>group</w:t>
      </w:r>
      <w:r w:rsidRPr="00F25B29">
        <w:rPr>
          <w:lang w:val="en-GB"/>
        </w:rPr>
        <w:t>.</w:t>
      </w:r>
      <w:r w:rsidR="00552394">
        <w:rPr>
          <w:lang w:val="en-GB"/>
        </w:rPr>
        <w:t xml:space="preserve"> </w:t>
      </w:r>
      <w:r w:rsidR="00E700E3">
        <w:rPr>
          <w:lang w:val="en-GB"/>
        </w:rPr>
        <w:t>The</w:t>
      </w:r>
      <w:r w:rsidR="00163E89">
        <w:rPr>
          <w:lang w:val="en-GB"/>
        </w:rPr>
        <w:t xml:space="preserve"> the</w:t>
      </w:r>
      <w:r w:rsidR="00E700E3">
        <w:rPr>
          <w:lang w:val="en-GB"/>
        </w:rPr>
        <w:t>oretical background</w:t>
      </w:r>
      <w:r w:rsidR="00552394">
        <w:rPr>
          <w:lang w:val="en-GB"/>
        </w:rPr>
        <w:t>s</w:t>
      </w:r>
      <w:r w:rsidR="00E700E3">
        <w:rPr>
          <w:lang w:val="en-GB"/>
        </w:rPr>
        <w:t xml:space="preserve"> of the</w:t>
      </w:r>
      <w:r w:rsidR="00141E07">
        <w:rPr>
          <w:lang w:val="en-GB"/>
        </w:rPr>
        <w:t>se intervention</w:t>
      </w:r>
      <w:r w:rsidR="00E700E3">
        <w:rPr>
          <w:lang w:val="en-GB"/>
        </w:rPr>
        <w:t xml:space="preserve"> </w:t>
      </w:r>
      <w:r w:rsidR="00B9601B">
        <w:rPr>
          <w:lang w:val="en-GB"/>
        </w:rPr>
        <w:t>components</w:t>
      </w:r>
      <w:r w:rsidR="00E700E3">
        <w:rPr>
          <w:lang w:val="en-GB"/>
        </w:rPr>
        <w:t xml:space="preserve"> </w:t>
      </w:r>
      <w:r w:rsidR="00552394">
        <w:rPr>
          <w:lang w:val="en-GB"/>
        </w:rPr>
        <w:t>are</w:t>
      </w:r>
      <w:r w:rsidR="00E700E3">
        <w:rPr>
          <w:lang w:val="en-GB"/>
        </w:rPr>
        <w:t xml:space="preserve"> described elsewhere</w:t>
      </w:r>
      <w:r w:rsidR="00141E07">
        <w:rPr>
          <w:lang w:val="en-GB"/>
        </w:rPr>
        <w:t xml:space="preserve"> </w:t>
      </w:r>
      <w:r w:rsidR="00BA2D5A" w:rsidRPr="00BA2D5A">
        <w:rPr>
          <w:lang w:val="en-GB"/>
        </w:rPr>
        <w:t>[9]</w:t>
      </w:r>
      <w:r w:rsidR="00E700E3">
        <w:rPr>
          <w:lang w:val="en-GB"/>
        </w:rPr>
        <w:t xml:space="preserve">. </w:t>
      </w:r>
    </w:p>
    <w:p w14:paraId="4D9F73D9" w14:textId="77777777" w:rsidR="00222B86" w:rsidRDefault="00E700E3" w:rsidP="00B67158">
      <w:pPr>
        <w:autoSpaceDE w:val="0"/>
        <w:autoSpaceDN w:val="0"/>
        <w:adjustRightInd w:val="0"/>
        <w:spacing w:line="480" w:lineRule="auto"/>
        <w:ind w:firstLine="709"/>
        <w:rPr>
          <w:lang w:val="en-GB"/>
        </w:rPr>
      </w:pPr>
      <w:r>
        <w:rPr>
          <w:lang w:val="en-GB"/>
        </w:rPr>
        <w:t>The web-based feedback</w:t>
      </w:r>
      <w:r w:rsidR="00BB3A29">
        <w:rPr>
          <w:lang w:val="en-GB"/>
        </w:rPr>
        <w:t>,</w:t>
      </w:r>
      <w:r>
        <w:rPr>
          <w:lang w:val="en-GB"/>
        </w:rPr>
        <w:t xml:space="preserve"> intended only for participants </w:t>
      </w:r>
      <w:r w:rsidR="00552394">
        <w:rPr>
          <w:lang w:val="en-GB"/>
        </w:rPr>
        <w:t>in</w:t>
      </w:r>
      <w:r>
        <w:rPr>
          <w:lang w:val="en-GB"/>
        </w:rPr>
        <w:t xml:space="preserve"> the combined program</w:t>
      </w:r>
      <w:r w:rsidR="00BB3A29">
        <w:rPr>
          <w:lang w:val="en-GB"/>
        </w:rPr>
        <w:t>,</w:t>
      </w:r>
      <w:r>
        <w:rPr>
          <w:lang w:val="en-GB"/>
        </w:rPr>
        <w:t xml:space="preserve"> was provided immediately after completion of the baseline assessment. It included individually</w:t>
      </w:r>
      <w:r w:rsidR="00053981">
        <w:rPr>
          <w:lang w:val="en-GB"/>
        </w:rPr>
        <w:t>-</w:t>
      </w:r>
      <w:r>
        <w:rPr>
          <w:lang w:val="en-GB"/>
        </w:rPr>
        <w:lastRenderedPageBreak/>
        <w:t xml:space="preserve">tailored information (1) about </w:t>
      </w:r>
      <w:r w:rsidR="0063592E">
        <w:rPr>
          <w:lang w:val="en-GB"/>
        </w:rPr>
        <w:t>calorie intake based on personal drinking data</w:t>
      </w:r>
      <w:r>
        <w:rPr>
          <w:lang w:val="en-GB"/>
        </w:rPr>
        <w:t xml:space="preserve">, </w:t>
      </w:r>
      <w:r w:rsidR="0063592E">
        <w:rPr>
          <w:lang w:val="en-GB"/>
        </w:rPr>
        <w:t xml:space="preserve">and </w:t>
      </w:r>
      <w:r>
        <w:rPr>
          <w:lang w:val="en-GB"/>
        </w:rPr>
        <w:t>(2) age and gender-specific norm</w:t>
      </w:r>
      <w:r w:rsidR="00B9601B">
        <w:rPr>
          <w:lang w:val="en-GB"/>
        </w:rPr>
        <w:t xml:space="preserve">s </w:t>
      </w:r>
      <w:r w:rsidR="000B23C8">
        <w:rPr>
          <w:lang w:val="en-GB"/>
        </w:rPr>
        <w:t xml:space="preserve">on </w:t>
      </w:r>
      <w:r w:rsidR="00053981">
        <w:rPr>
          <w:lang w:val="en-GB"/>
        </w:rPr>
        <w:t xml:space="preserve">the </w:t>
      </w:r>
      <w:r>
        <w:rPr>
          <w:lang w:val="en-GB"/>
        </w:rPr>
        <w:t>number o</w:t>
      </w:r>
      <w:r w:rsidR="0063592E">
        <w:rPr>
          <w:lang w:val="en-GB"/>
        </w:rPr>
        <w:t>f drinks consumed per week</w:t>
      </w:r>
      <w:r w:rsidR="00552394">
        <w:rPr>
          <w:lang w:val="en-GB"/>
        </w:rPr>
        <w:t>,</w:t>
      </w:r>
      <w:r w:rsidR="0063592E">
        <w:rPr>
          <w:lang w:val="en-GB"/>
        </w:rPr>
        <w:t xml:space="preserve"> </w:t>
      </w:r>
      <w:r w:rsidR="00B9601B">
        <w:rPr>
          <w:lang w:val="en-GB"/>
        </w:rPr>
        <w:t>as well as</w:t>
      </w:r>
      <w:r w:rsidR="0063592E">
        <w:rPr>
          <w:lang w:val="en-GB"/>
        </w:rPr>
        <w:t xml:space="preserve"> </w:t>
      </w:r>
      <w:r w:rsidR="000B23C8">
        <w:rPr>
          <w:lang w:val="en-GB"/>
        </w:rPr>
        <w:t xml:space="preserve">on </w:t>
      </w:r>
      <w:r w:rsidR="00552394">
        <w:rPr>
          <w:lang w:val="en-GB"/>
        </w:rPr>
        <w:t xml:space="preserve">the individual’s </w:t>
      </w:r>
      <w:r w:rsidR="0063592E">
        <w:rPr>
          <w:lang w:val="en-GB"/>
        </w:rPr>
        <w:t xml:space="preserve">frequency of binge drinking. </w:t>
      </w:r>
    </w:p>
    <w:p w14:paraId="792C2631" w14:textId="77777777" w:rsidR="00E700E3" w:rsidRDefault="000B23C8" w:rsidP="00B67158">
      <w:pPr>
        <w:autoSpaceDE w:val="0"/>
        <w:autoSpaceDN w:val="0"/>
        <w:adjustRightInd w:val="0"/>
        <w:spacing w:line="480" w:lineRule="auto"/>
        <w:ind w:firstLine="709"/>
        <w:rPr>
          <w:lang w:val="en-GB"/>
        </w:rPr>
      </w:pPr>
      <w:r w:rsidRPr="00B35F0B">
        <w:rPr>
          <w:lang w:val="en-GB"/>
        </w:rPr>
        <w:t xml:space="preserve">The </w:t>
      </w:r>
      <w:r>
        <w:rPr>
          <w:lang w:val="en-GB"/>
        </w:rPr>
        <w:t>alcohol</w:t>
      </w:r>
      <w:r w:rsidR="00053981">
        <w:rPr>
          <w:lang w:val="en-GB"/>
        </w:rPr>
        <w:t>-</w:t>
      </w:r>
      <w:r>
        <w:rPr>
          <w:lang w:val="en-GB"/>
        </w:rPr>
        <w:t xml:space="preserve">related </w:t>
      </w:r>
      <w:r w:rsidRPr="00B35F0B">
        <w:rPr>
          <w:lang w:val="en-GB"/>
        </w:rPr>
        <w:t>text messages provide</w:t>
      </w:r>
      <w:r>
        <w:rPr>
          <w:lang w:val="en-GB"/>
        </w:rPr>
        <w:t>d</w:t>
      </w:r>
      <w:r w:rsidRPr="00B35F0B">
        <w:rPr>
          <w:lang w:val="en-GB"/>
        </w:rPr>
        <w:t xml:space="preserve"> information on (1) strategies for drinking within low-risk limits, and (2) the association between smoking and alcohol consumption.</w:t>
      </w:r>
      <w:r w:rsidR="00830149">
        <w:rPr>
          <w:lang w:val="en-GB"/>
        </w:rPr>
        <w:t xml:space="preserve"> These text messages were sent only to those subjects </w:t>
      </w:r>
      <w:r w:rsidR="00552394">
        <w:rPr>
          <w:lang w:val="en-GB"/>
        </w:rPr>
        <w:t xml:space="preserve">within the </w:t>
      </w:r>
      <w:r w:rsidR="00552394" w:rsidRPr="00EC7A19">
        <w:rPr>
          <w:i/>
          <w:lang w:val="en-GB"/>
        </w:rPr>
        <w:t>MCT+</w:t>
      </w:r>
      <w:r w:rsidR="00552394">
        <w:rPr>
          <w:lang w:val="en-GB"/>
        </w:rPr>
        <w:t xml:space="preserve"> condition </w:t>
      </w:r>
      <w:r w:rsidR="00830149">
        <w:rPr>
          <w:lang w:val="en-GB"/>
        </w:rPr>
        <w:t xml:space="preserve">who reported binge drinking previous to </w:t>
      </w:r>
      <w:r w:rsidR="00141E07">
        <w:rPr>
          <w:lang w:val="en-GB"/>
        </w:rPr>
        <w:t xml:space="preserve">their </w:t>
      </w:r>
      <w:r w:rsidR="00830149">
        <w:rPr>
          <w:lang w:val="en-GB"/>
        </w:rPr>
        <w:t>baseline assessment, wh</w:t>
      </w:r>
      <w:r w:rsidR="00053981">
        <w:rPr>
          <w:lang w:val="en-GB"/>
        </w:rPr>
        <w:t xml:space="preserve">ere binge-drinking </w:t>
      </w:r>
      <w:r w:rsidR="00830149">
        <w:rPr>
          <w:lang w:val="en-GB"/>
        </w:rPr>
        <w:t xml:space="preserve">is equivalent to the consumption of </w:t>
      </w:r>
      <w:r w:rsidR="00053981">
        <w:rPr>
          <w:lang w:val="en-GB"/>
        </w:rPr>
        <w:t>five</w:t>
      </w:r>
      <w:r w:rsidR="00830149">
        <w:rPr>
          <w:lang w:val="en-GB"/>
        </w:rPr>
        <w:t xml:space="preserve"> or more drinks on </w:t>
      </w:r>
      <w:r w:rsidR="00053981">
        <w:rPr>
          <w:lang w:val="en-GB"/>
        </w:rPr>
        <w:t xml:space="preserve">a single </w:t>
      </w:r>
      <w:r w:rsidR="00830149">
        <w:rPr>
          <w:lang w:val="en-GB"/>
        </w:rPr>
        <w:t xml:space="preserve">occasion </w:t>
      </w:r>
      <w:r w:rsidR="00141E07">
        <w:rPr>
          <w:lang w:val="en-GB"/>
        </w:rPr>
        <w:t>for</w:t>
      </w:r>
      <w:r w:rsidR="00830149">
        <w:rPr>
          <w:lang w:val="en-GB"/>
        </w:rPr>
        <w:t xml:space="preserve"> men</w:t>
      </w:r>
      <w:r w:rsidR="00053981">
        <w:rPr>
          <w:lang w:val="en-GB"/>
        </w:rPr>
        <w:t>,</w:t>
      </w:r>
      <w:r w:rsidR="00830149">
        <w:rPr>
          <w:lang w:val="en-GB"/>
        </w:rPr>
        <w:t xml:space="preserve"> and </w:t>
      </w:r>
      <w:r w:rsidR="00053981">
        <w:rPr>
          <w:lang w:val="en-GB"/>
        </w:rPr>
        <w:t>four</w:t>
      </w:r>
      <w:r w:rsidR="00830149">
        <w:rPr>
          <w:lang w:val="en-GB"/>
        </w:rPr>
        <w:t xml:space="preserve"> or more drinks </w:t>
      </w:r>
      <w:r w:rsidR="00141E07">
        <w:rPr>
          <w:lang w:val="en-GB"/>
        </w:rPr>
        <w:t>for</w:t>
      </w:r>
      <w:r w:rsidR="00830149">
        <w:rPr>
          <w:lang w:val="en-GB"/>
        </w:rPr>
        <w:t xml:space="preserve"> women. </w:t>
      </w:r>
      <w:r w:rsidR="00B9601B" w:rsidRPr="00141E07">
        <w:rPr>
          <w:lang w:val="en-GB"/>
        </w:rPr>
        <w:t>These</w:t>
      </w:r>
      <w:r w:rsidR="00946F51" w:rsidRPr="00141E07">
        <w:rPr>
          <w:lang w:val="en-GB"/>
        </w:rPr>
        <w:t xml:space="preserve"> text messages were sent</w:t>
      </w:r>
      <w:r w:rsidR="00946F51">
        <w:rPr>
          <w:lang w:val="en-GB"/>
        </w:rPr>
        <w:t xml:space="preserve"> on Saturdays at 7 pm</w:t>
      </w:r>
      <w:r w:rsidR="00B9601B">
        <w:rPr>
          <w:lang w:val="en-GB"/>
        </w:rPr>
        <w:t xml:space="preserve"> on even weeks, </w:t>
      </w:r>
      <w:r w:rsidR="00053981">
        <w:rPr>
          <w:lang w:val="en-GB"/>
        </w:rPr>
        <w:t xml:space="preserve">while </w:t>
      </w:r>
      <w:r w:rsidR="00B9601B">
        <w:rPr>
          <w:lang w:val="en-GB"/>
        </w:rPr>
        <w:t>on odd</w:t>
      </w:r>
      <w:r w:rsidR="00946F51">
        <w:rPr>
          <w:lang w:val="en-GB"/>
        </w:rPr>
        <w:t xml:space="preserve"> weeks they were sent </w:t>
      </w:r>
      <w:r w:rsidR="00053981">
        <w:rPr>
          <w:lang w:val="en-GB"/>
        </w:rPr>
        <w:t>at each particular</w:t>
      </w:r>
      <w:r w:rsidR="00946F51">
        <w:rPr>
          <w:lang w:val="en-GB"/>
        </w:rPr>
        <w:t xml:space="preserve"> individual’s typical drinking day and time. </w:t>
      </w:r>
    </w:p>
    <w:p w14:paraId="2DC22841" w14:textId="4FD97270" w:rsidR="00C27CA2" w:rsidRDefault="00C643AD" w:rsidP="00B67158">
      <w:pPr>
        <w:autoSpaceDE w:val="0"/>
        <w:autoSpaceDN w:val="0"/>
        <w:adjustRightInd w:val="0"/>
        <w:spacing w:line="480" w:lineRule="auto"/>
        <w:ind w:firstLine="709"/>
        <w:rPr>
          <w:lang w:val="en-GB"/>
        </w:rPr>
      </w:pPr>
      <w:r>
        <w:rPr>
          <w:lang w:val="en-GB"/>
        </w:rPr>
        <w:t>The tobacco-</w:t>
      </w:r>
      <w:r w:rsidR="00FF44D6">
        <w:rPr>
          <w:lang w:val="en-GB"/>
        </w:rPr>
        <w:t xml:space="preserve">related text messages provided information </w:t>
      </w:r>
      <w:r w:rsidR="00B9601B">
        <w:rPr>
          <w:lang w:val="en-GB"/>
        </w:rPr>
        <w:t xml:space="preserve">relevant to </w:t>
      </w:r>
      <w:r w:rsidR="00552394">
        <w:rPr>
          <w:lang w:val="en-GB"/>
        </w:rPr>
        <w:t>each</w:t>
      </w:r>
      <w:r w:rsidR="00B9601B">
        <w:rPr>
          <w:lang w:val="en-GB"/>
        </w:rPr>
        <w:t xml:space="preserve"> subject’s individual </w:t>
      </w:r>
      <w:r w:rsidR="00FF44D6">
        <w:rPr>
          <w:lang w:val="en-GB"/>
        </w:rPr>
        <w:t>HAP</w:t>
      </w:r>
      <w:r w:rsidR="00B9601B">
        <w:rPr>
          <w:lang w:val="en-GB"/>
        </w:rPr>
        <w:t xml:space="preserve">A stage of change </w:t>
      </w:r>
      <w:r w:rsidR="00E91A9D" w:rsidRPr="005D2CB3">
        <w:rPr>
          <w:lang w:val="en-GB"/>
        </w:rPr>
        <w:t>[22]</w:t>
      </w:r>
      <w:r w:rsidR="00B9601B">
        <w:rPr>
          <w:lang w:val="en-GB"/>
        </w:rPr>
        <w:t xml:space="preserve">. Based on the HAPA </w:t>
      </w:r>
      <w:r w:rsidR="00053981">
        <w:rPr>
          <w:lang w:val="en-GB"/>
        </w:rPr>
        <w:t xml:space="preserve">stage </w:t>
      </w:r>
      <w:r w:rsidR="00E91A9D" w:rsidRPr="00E91A9D">
        <w:rPr>
          <w:lang w:val="en-GB"/>
        </w:rPr>
        <w:t>[22]</w:t>
      </w:r>
      <w:r w:rsidR="00B9601B">
        <w:rPr>
          <w:lang w:val="en-GB"/>
        </w:rPr>
        <w:t xml:space="preserve">, </w:t>
      </w:r>
      <w:r w:rsidR="00222B86">
        <w:rPr>
          <w:lang w:val="en-GB"/>
        </w:rPr>
        <w:t>subjects</w:t>
      </w:r>
      <w:r w:rsidR="00C27CA2">
        <w:rPr>
          <w:lang w:val="en-GB"/>
        </w:rPr>
        <w:t xml:space="preserve"> can be divided into ‘pre</w:t>
      </w:r>
      <w:r w:rsidR="00B9601B">
        <w:rPr>
          <w:lang w:val="en-GB"/>
        </w:rPr>
        <w:t xml:space="preserve">-intenders’ (individuals </w:t>
      </w:r>
      <w:r w:rsidR="00552394">
        <w:rPr>
          <w:lang w:val="en-GB"/>
        </w:rPr>
        <w:t xml:space="preserve">with </w:t>
      </w:r>
      <w:r w:rsidR="00B9601B">
        <w:rPr>
          <w:lang w:val="en-GB"/>
        </w:rPr>
        <w:t>no inten</w:t>
      </w:r>
      <w:r w:rsidR="00552394">
        <w:rPr>
          <w:lang w:val="en-GB"/>
        </w:rPr>
        <w:t>tion</w:t>
      </w:r>
      <w:r w:rsidR="00B9601B">
        <w:rPr>
          <w:lang w:val="en-GB"/>
        </w:rPr>
        <w:t xml:space="preserve"> to quit smoking) and ‘intenders’ or ‘actors’ (individuals </w:t>
      </w:r>
      <w:r w:rsidR="00D03113">
        <w:rPr>
          <w:lang w:val="en-GB"/>
        </w:rPr>
        <w:t>who</w:t>
      </w:r>
      <w:r w:rsidR="00B9601B">
        <w:rPr>
          <w:lang w:val="en-GB"/>
        </w:rPr>
        <w:t xml:space="preserve"> seriously intend to quit smoking or have already quit). </w:t>
      </w:r>
      <w:r w:rsidR="007F796F">
        <w:rPr>
          <w:lang w:val="en-GB"/>
        </w:rPr>
        <w:t>F</w:t>
      </w:r>
      <w:r w:rsidR="0029098E">
        <w:rPr>
          <w:lang w:val="en-GB"/>
        </w:rPr>
        <w:t>or pre</w:t>
      </w:r>
      <w:r w:rsidR="007F796F">
        <w:rPr>
          <w:lang w:val="en-GB"/>
        </w:rPr>
        <w:t>-intenders, t</w:t>
      </w:r>
      <w:r w:rsidR="008266D5">
        <w:rPr>
          <w:lang w:val="en-GB"/>
        </w:rPr>
        <w:t xml:space="preserve">he text messages addressed </w:t>
      </w:r>
      <w:r w:rsidR="006B341D">
        <w:rPr>
          <w:lang w:val="en-GB"/>
        </w:rPr>
        <w:t xml:space="preserve">the </w:t>
      </w:r>
      <w:r w:rsidR="007F796F">
        <w:rPr>
          <w:lang w:val="en-GB"/>
        </w:rPr>
        <w:t>benefits</w:t>
      </w:r>
      <w:r w:rsidR="008266D5">
        <w:rPr>
          <w:lang w:val="en-GB"/>
        </w:rPr>
        <w:t xml:space="preserve"> of quitting, risk</w:t>
      </w:r>
      <w:r w:rsidR="007F796F">
        <w:rPr>
          <w:lang w:val="en-GB"/>
        </w:rPr>
        <w:t>s</w:t>
      </w:r>
      <w:r w:rsidR="008266D5">
        <w:rPr>
          <w:lang w:val="en-GB"/>
        </w:rPr>
        <w:t xml:space="preserve"> of smoking</w:t>
      </w:r>
      <w:r w:rsidR="00053981">
        <w:rPr>
          <w:lang w:val="en-GB"/>
        </w:rPr>
        <w:t>,</w:t>
      </w:r>
      <w:r w:rsidR="008266D5">
        <w:rPr>
          <w:lang w:val="en-GB"/>
        </w:rPr>
        <w:t xml:space="preserve"> and </w:t>
      </w:r>
      <w:r w:rsidR="007F796F">
        <w:rPr>
          <w:lang w:val="en-GB"/>
        </w:rPr>
        <w:t xml:space="preserve">methods for improving </w:t>
      </w:r>
      <w:r w:rsidR="008266D5">
        <w:rPr>
          <w:lang w:val="en-GB"/>
        </w:rPr>
        <w:t>self-efficacy. For intenders, the text messages initiated planning processes</w:t>
      </w:r>
      <w:r w:rsidR="00053981">
        <w:rPr>
          <w:lang w:val="en-GB"/>
        </w:rPr>
        <w:t>;</w:t>
      </w:r>
      <w:r w:rsidR="008266D5">
        <w:rPr>
          <w:lang w:val="en-GB"/>
        </w:rPr>
        <w:t xml:space="preserve"> </w:t>
      </w:r>
      <w:r w:rsidR="00053981">
        <w:rPr>
          <w:lang w:val="en-GB"/>
        </w:rPr>
        <w:t>while</w:t>
      </w:r>
      <w:r w:rsidR="008266D5">
        <w:rPr>
          <w:lang w:val="en-GB"/>
        </w:rPr>
        <w:t xml:space="preserve"> for actors they emphasized self-regulatory skills. </w:t>
      </w:r>
    </w:p>
    <w:p w14:paraId="0C8F023C" w14:textId="77777777" w:rsidR="00FF44D6" w:rsidRPr="00685834" w:rsidRDefault="00B67158" w:rsidP="00B67158">
      <w:pPr>
        <w:autoSpaceDE w:val="0"/>
        <w:autoSpaceDN w:val="0"/>
        <w:adjustRightInd w:val="0"/>
        <w:spacing w:line="480" w:lineRule="auto"/>
        <w:ind w:firstLine="709"/>
        <w:rPr>
          <w:lang w:val="en-GB"/>
        </w:rPr>
      </w:pPr>
      <w:r>
        <w:rPr>
          <w:lang w:val="en-GB"/>
        </w:rPr>
        <w:t>During the three</w:t>
      </w:r>
      <w:r w:rsidR="008266D5" w:rsidRPr="00B35F0B">
        <w:rPr>
          <w:lang w:val="en-GB"/>
        </w:rPr>
        <w:t xml:space="preserve">-month </w:t>
      </w:r>
      <w:proofErr w:type="spellStart"/>
      <w:r w:rsidR="00EC7A19" w:rsidRPr="00EC7A19">
        <w:rPr>
          <w:i/>
          <w:lang w:val="en-GB"/>
        </w:rPr>
        <w:t>MobileCoach</w:t>
      </w:r>
      <w:proofErr w:type="spellEnd"/>
      <w:r w:rsidR="00EC7A19" w:rsidRPr="00EC7A19">
        <w:rPr>
          <w:i/>
          <w:lang w:val="en-GB"/>
        </w:rPr>
        <w:t xml:space="preserve"> Tobacco</w:t>
      </w:r>
      <w:r w:rsidR="00EC7A19">
        <w:rPr>
          <w:lang w:val="en-GB"/>
        </w:rPr>
        <w:t xml:space="preserve"> program</w:t>
      </w:r>
      <w:r>
        <w:rPr>
          <w:lang w:val="en-GB"/>
        </w:rPr>
        <w:t xml:space="preserve">, participants in both </w:t>
      </w:r>
      <w:r w:rsidR="008266D5" w:rsidRPr="00B35F0B">
        <w:rPr>
          <w:lang w:val="en-GB"/>
        </w:rPr>
        <w:t>intervention groups receive</w:t>
      </w:r>
      <w:r w:rsidR="008266D5">
        <w:rPr>
          <w:lang w:val="en-GB"/>
        </w:rPr>
        <w:t>d</w:t>
      </w:r>
      <w:r w:rsidR="008266D5" w:rsidRPr="00B35F0B">
        <w:rPr>
          <w:lang w:val="en-GB"/>
        </w:rPr>
        <w:t xml:space="preserve"> one text message prompt per week that either assess</w:t>
      </w:r>
      <w:r w:rsidR="008266D5">
        <w:rPr>
          <w:lang w:val="en-GB"/>
        </w:rPr>
        <w:t>ed</w:t>
      </w:r>
      <w:r w:rsidR="008266D5" w:rsidRPr="00B35F0B">
        <w:rPr>
          <w:lang w:val="en-GB"/>
        </w:rPr>
        <w:t xml:space="preserve"> smoking-related target behaviours or </w:t>
      </w:r>
      <w:r w:rsidR="008266D5">
        <w:rPr>
          <w:lang w:val="en-GB"/>
        </w:rPr>
        <w:t>encouraged</w:t>
      </w:r>
      <w:r w:rsidR="008266D5" w:rsidRPr="00B35F0B">
        <w:rPr>
          <w:lang w:val="en-GB"/>
        </w:rPr>
        <w:t xml:space="preserve"> </w:t>
      </w:r>
      <w:r w:rsidR="00552394">
        <w:rPr>
          <w:lang w:val="en-GB"/>
        </w:rPr>
        <w:t xml:space="preserve">the subject’s </w:t>
      </w:r>
      <w:r w:rsidR="008266D5" w:rsidRPr="00B35F0B">
        <w:rPr>
          <w:lang w:val="en-GB"/>
        </w:rPr>
        <w:t xml:space="preserve">participation in a quiz or message contest. </w:t>
      </w:r>
      <w:r w:rsidR="00FF44D6" w:rsidRPr="00B35F0B">
        <w:rPr>
          <w:lang w:val="en-GB"/>
        </w:rPr>
        <w:t xml:space="preserve">These prompts </w:t>
      </w:r>
      <w:r w:rsidR="00F47E39">
        <w:rPr>
          <w:lang w:val="en-GB"/>
        </w:rPr>
        <w:t>were</w:t>
      </w:r>
      <w:r w:rsidR="00FF44D6" w:rsidRPr="00B35F0B">
        <w:rPr>
          <w:lang w:val="en-GB"/>
        </w:rPr>
        <w:t xml:space="preserve"> easily </w:t>
      </w:r>
      <w:r w:rsidR="00F47E39" w:rsidRPr="00B35F0B">
        <w:rPr>
          <w:lang w:val="en-GB"/>
        </w:rPr>
        <w:t xml:space="preserve">answered </w:t>
      </w:r>
      <w:r w:rsidR="00FF44D6" w:rsidRPr="00B35F0B">
        <w:rPr>
          <w:lang w:val="en-GB"/>
        </w:rPr>
        <w:t xml:space="preserve">by typing a single letter, number, or sentence using the mobile phone’s reply function. </w:t>
      </w:r>
      <w:r w:rsidR="008266D5">
        <w:rPr>
          <w:lang w:val="en-GB"/>
        </w:rPr>
        <w:t xml:space="preserve">Every </w:t>
      </w:r>
      <w:r w:rsidR="00053981">
        <w:rPr>
          <w:lang w:val="en-GB"/>
        </w:rPr>
        <w:t>four</w:t>
      </w:r>
      <w:r w:rsidR="008266D5">
        <w:rPr>
          <w:lang w:val="en-GB"/>
        </w:rPr>
        <w:t xml:space="preserve"> weeks, smoking-related target behaviour</w:t>
      </w:r>
      <w:r w:rsidR="00053981">
        <w:rPr>
          <w:lang w:val="en-GB"/>
        </w:rPr>
        <w:t>s</w:t>
      </w:r>
      <w:r w:rsidR="006B341D">
        <w:rPr>
          <w:lang w:val="en-GB"/>
        </w:rPr>
        <w:t>,</w:t>
      </w:r>
      <w:r w:rsidR="008266D5">
        <w:rPr>
          <w:lang w:val="en-GB"/>
        </w:rPr>
        <w:t xml:space="preserve"> including the </w:t>
      </w:r>
      <w:r w:rsidR="00053981">
        <w:rPr>
          <w:lang w:val="en-GB"/>
        </w:rPr>
        <w:t xml:space="preserve">person’s </w:t>
      </w:r>
      <w:r w:rsidR="008266D5">
        <w:rPr>
          <w:lang w:val="en-GB"/>
        </w:rPr>
        <w:t>HAPA stage</w:t>
      </w:r>
      <w:r w:rsidR="00053981">
        <w:rPr>
          <w:lang w:val="en-GB"/>
        </w:rPr>
        <w:t xml:space="preserve"> of change</w:t>
      </w:r>
      <w:r w:rsidR="006B341D">
        <w:rPr>
          <w:lang w:val="en-GB"/>
        </w:rPr>
        <w:t>,</w:t>
      </w:r>
      <w:r w:rsidR="008266D5">
        <w:rPr>
          <w:lang w:val="en-GB"/>
        </w:rPr>
        <w:t xml:space="preserve"> w</w:t>
      </w:r>
      <w:r w:rsidR="00552394">
        <w:rPr>
          <w:lang w:val="en-GB"/>
        </w:rPr>
        <w:t>ere</w:t>
      </w:r>
      <w:r w:rsidR="008266D5">
        <w:rPr>
          <w:lang w:val="en-GB"/>
        </w:rPr>
        <w:t xml:space="preserve"> assessed through the question</w:t>
      </w:r>
      <w:r w:rsidR="00FF44D6" w:rsidRPr="00B35F0B">
        <w:rPr>
          <w:lang w:val="en-GB"/>
        </w:rPr>
        <w:t>: ‘Have you recently smoked cigarettes?’, with the following response options (1) ‘Yes, and I do not intend to quit’ (pre-intender), (2) ‘Yes, but I am considering quitting’ (pre-</w:t>
      </w:r>
      <w:r w:rsidR="00FF44D6" w:rsidRPr="00B35F0B">
        <w:rPr>
          <w:lang w:val="en-GB"/>
        </w:rPr>
        <w:lastRenderedPageBreak/>
        <w:t xml:space="preserve">intender), (3) ‘Yes, but I seriously intend to quit’ (intender), or (4) ‘No, I </w:t>
      </w:r>
      <w:r w:rsidR="00552394">
        <w:rPr>
          <w:lang w:val="en-GB"/>
        </w:rPr>
        <w:t xml:space="preserve">have already </w:t>
      </w:r>
      <w:r w:rsidR="00FF44D6" w:rsidRPr="00B35F0B">
        <w:rPr>
          <w:lang w:val="en-GB"/>
        </w:rPr>
        <w:t>quit smoking’ (actor). Furthermore, among pre-intenders, the number of cigarettes smoked per day or week (depending on smok</w:t>
      </w:r>
      <w:r w:rsidR="008266D5">
        <w:rPr>
          <w:lang w:val="en-GB"/>
        </w:rPr>
        <w:t>ing status: daily/occasionall</w:t>
      </w:r>
      <w:r w:rsidR="008266D5" w:rsidRPr="00FD21D5">
        <w:rPr>
          <w:lang w:val="en-GB"/>
        </w:rPr>
        <w:t>y) was assessed</w:t>
      </w:r>
      <w:r w:rsidR="00FF44D6" w:rsidRPr="00FD21D5">
        <w:rPr>
          <w:lang w:val="en-GB"/>
        </w:rPr>
        <w:t xml:space="preserve"> every </w:t>
      </w:r>
      <w:r w:rsidR="00053981">
        <w:rPr>
          <w:lang w:val="en-GB"/>
        </w:rPr>
        <w:t>four</w:t>
      </w:r>
      <w:r w:rsidR="00FF44D6" w:rsidRPr="00FD21D5">
        <w:rPr>
          <w:lang w:val="en-GB"/>
        </w:rPr>
        <w:t xml:space="preserve"> weeks</w:t>
      </w:r>
      <w:r w:rsidR="00FD21D5" w:rsidRPr="00FD21D5">
        <w:rPr>
          <w:lang w:val="en-GB"/>
        </w:rPr>
        <w:t>. F</w:t>
      </w:r>
      <w:r w:rsidR="00FF44D6" w:rsidRPr="00FD21D5">
        <w:rPr>
          <w:lang w:val="en-GB"/>
        </w:rPr>
        <w:t>or intenders and actors</w:t>
      </w:r>
      <w:r w:rsidR="00053981">
        <w:rPr>
          <w:lang w:val="en-GB"/>
        </w:rPr>
        <w:t>,</w:t>
      </w:r>
      <w:r w:rsidR="008266D5" w:rsidRPr="00FD21D5">
        <w:rPr>
          <w:lang w:val="en-GB"/>
        </w:rPr>
        <w:t xml:space="preserve"> the </w:t>
      </w:r>
      <w:r w:rsidR="007F796F" w:rsidRPr="00FD21D5">
        <w:rPr>
          <w:lang w:val="en-GB"/>
        </w:rPr>
        <w:t xml:space="preserve">use of strategies to cope with craving, which were individually chosen within the baseline </w:t>
      </w:r>
      <w:r w:rsidR="008266D5" w:rsidRPr="00FD21D5">
        <w:rPr>
          <w:lang w:val="en-GB"/>
        </w:rPr>
        <w:t>assessment</w:t>
      </w:r>
      <w:r w:rsidR="007F796F" w:rsidRPr="00FD21D5">
        <w:rPr>
          <w:lang w:val="en-GB"/>
        </w:rPr>
        <w:t>, was assessed</w:t>
      </w:r>
      <w:r w:rsidR="00053981">
        <w:rPr>
          <w:lang w:val="en-GB"/>
        </w:rPr>
        <w:t>:</w:t>
      </w:r>
      <w:r w:rsidR="00FF44D6" w:rsidRPr="00FD21D5">
        <w:rPr>
          <w:lang w:val="en-GB"/>
        </w:rPr>
        <w:t xml:space="preserve"> e</w:t>
      </w:r>
      <w:r w:rsidR="00FF44D6" w:rsidRPr="00B35F0B">
        <w:rPr>
          <w:lang w:val="en-GB"/>
        </w:rPr>
        <w:t>.g.</w:t>
      </w:r>
      <w:r w:rsidR="00053981">
        <w:rPr>
          <w:lang w:val="en-GB"/>
        </w:rPr>
        <w:t>,</w:t>
      </w:r>
      <w:r w:rsidR="00FF44D6" w:rsidRPr="00B35F0B">
        <w:rPr>
          <w:lang w:val="en-GB"/>
        </w:rPr>
        <w:t xml:space="preserve"> ‘Did you apply the following strategy recently? When I am at a party, I distract myself from smoking by dancing. </w:t>
      </w:r>
      <w:r w:rsidR="00FF44D6" w:rsidRPr="00685834">
        <w:rPr>
          <w:lang w:val="en-GB"/>
        </w:rPr>
        <w:t>Yes (Y) No (N)’.</w:t>
      </w:r>
    </w:p>
    <w:p w14:paraId="6555693F" w14:textId="77777777" w:rsidR="00536D6F" w:rsidRDefault="00F47E39" w:rsidP="00B67158">
      <w:pPr>
        <w:autoSpaceDE w:val="0"/>
        <w:autoSpaceDN w:val="0"/>
        <w:adjustRightInd w:val="0"/>
        <w:spacing w:line="480" w:lineRule="auto"/>
        <w:ind w:firstLine="709"/>
        <w:rPr>
          <w:lang w:val="en-GB"/>
        </w:rPr>
      </w:pPr>
      <w:r>
        <w:rPr>
          <w:lang w:val="en-GB"/>
        </w:rPr>
        <w:t>Quizzes were</w:t>
      </w:r>
      <w:r w:rsidR="00FF44D6" w:rsidRPr="00B35F0B">
        <w:rPr>
          <w:lang w:val="en-GB"/>
        </w:rPr>
        <w:t xml:space="preserve"> </w:t>
      </w:r>
      <w:r w:rsidR="00536D6F">
        <w:rPr>
          <w:lang w:val="en-GB"/>
        </w:rPr>
        <w:t>included</w:t>
      </w:r>
      <w:r w:rsidR="00FF44D6" w:rsidRPr="00B35F0B">
        <w:rPr>
          <w:lang w:val="en-GB"/>
        </w:rPr>
        <w:t xml:space="preserve"> thrice during the </w:t>
      </w:r>
      <w:r w:rsidR="00EC7A19" w:rsidRPr="00EC7A19">
        <w:rPr>
          <w:i/>
          <w:lang w:val="en-GB"/>
        </w:rPr>
        <w:t>MCT</w:t>
      </w:r>
      <w:r w:rsidR="00FD21D5">
        <w:rPr>
          <w:i/>
          <w:lang w:val="en-GB"/>
        </w:rPr>
        <w:t>,</w:t>
      </w:r>
      <w:r w:rsidR="00FF44D6" w:rsidRPr="00B35F0B">
        <w:rPr>
          <w:lang w:val="en-GB"/>
        </w:rPr>
        <w:t xml:space="preserve"> </w:t>
      </w:r>
      <w:r w:rsidR="00552394">
        <w:rPr>
          <w:lang w:val="en-GB"/>
        </w:rPr>
        <w:t>with</w:t>
      </w:r>
      <w:r w:rsidR="00FF44D6" w:rsidRPr="00B35F0B">
        <w:rPr>
          <w:lang w:val="en-GB"/>
        </w:rPr>
        <w:t xml:space="preserve"> </w:t>
      </w:r>
      <w:r w:rsidR="00536D6F">
        <w:rPr>
          <w:lang w:val="en-GB"/>
        </w:rPr>
        <w:t>the</w:t>
      </w:r>
      <w:r w:rsidR="00FF44D6" w:rsidRPr="00B35F0B">
        <w:rPr>
          <w:lang w:val="en-GB"/>
        </w:rPr>
        <w:t xml:space="preserve"> questions </w:t>
      </w:r>
      <w:r w:rsidR="0083520F">
        <w:rPr>
          <w:lang w:val="en-GB"/>
        </w:rPr>
        <w:t>target</w:t>
      </w:r>
      <w:r w:rsidR="00552394">
        <w:rPr>
          <w:lang w:val="en-GB"/>
        </w:rPr>
        <w:t>ing</w:t>
      </w:r>
      <w:r w:rsidR="00FF44D6" w:rsidRPr="00B35F0B">
        <w:rPr>
          <w:lang w:val="en-GB"/>
        </w:rPr>
        <w:t xml:space="preserve">: (1) smoking norms (percentage of smokers within the </w:t>
      </w:r>
      <w:r w:rsidR="00536D6F">
        <w:rPr>
          <w:lang w:val="en-GB"/>
        </w:rPr>
        <w:t xml:space="preserve">same </w:t>
      </w:r>
      <w:r w:rsidR="00FF44D6" w:rsidRPr="00B35F0B">
        <w:rPr>
          <w:lang w:val="en-GB"/>
        </w:rPr>
        <w:t xml:space="preserve">age- and </w:t>
      </w:r>
      <w:r w:rsidR="00536D6F">
        <w:rPr>
          <w:lang w:val="en-GB"/>
        </w:rPr>
        <w:t>gender-specific reference group</w:t>
      </w:r>
      <w:r w:rsidR="00FF44D6" w:rsidRPr="00B35F0B">
        <w:rPr>
          <w:lang w:val="en-GB"/>
        </w:rPr>
        <w:t>)</w:t>
      </w:r>
      <w:r w:rsidR="00053981">
        <w:rPr>
          <w:lang w:val="en-GB"/>
        </w:rPr>
        <w:t>;</w:t>
      </w:r>
      <w:r w:rsidR="00FF44D6" w:rsidRPr="00B35F0B">
        <w:rPr>
          <w:lang w:val="en-GB"/>
        </w:rPr>
        <w:t xml:space="preserve"> (2) </w:t>
      </w:r>
      <w:r w:rsidR="0012025C">
        <w:rPr>
          <w:lang w:val="en-GB"/>
        </w:rPr>
        <w:t xml:space="preserve">the </w:t>
      </w:r>
      <w:r w:rsidR="00FF44D6" w:rsidRPr="00B35F0B">
        <w:rPr>
          <w:lang w:val="en-GB"/>
        </w:rPr>
        <w:t>health consequences of smoking cessation (days until positive health consequences after smoking cessation)</w:t>
      </w:r>
      <w:r w:rsidR="00053981">
        <w:rPr>
          <w:lang w:val="en-GB"/>
        </w:rPr>
        <w:t xml:space="preserve">; </w:t>
      </w:r>
      <w:r w:rsidR="00FF44D6" w:rsidRPr="00B35F0B">
        <w:rPr>
          <w:lang w:val="en-GB"/>
        </w:rPr>
        <w:t>and (3) expenditure</w:t>
      </w:r>
      <w:r w:rsidR="00053981">
        <w:rPr>
          <w:lang w:val="en-GB"/>
        </w:rPr>
        <w:t>s</w:t>
      </w:r>
      <w:r w:rsidR="00FF44D6" w:rsidRPr="00B35F0B">
        <w:rPr>
          <w:lang w:val="en-GB"/>
        </w:rPr>
        <w:t xml:space="preserve"> on cigarettes (money spent </w:t>
      </w:r>
      <w:r w:rsidR="002F42F0">
        <w:rPr>
          <w:lang w:val="en-GB"/>
        </w:rPr>
        <w:t>on</w:t>
      </w:r>
      <w:r w:rsidR="00FF44D6" w:rsidRPr="00B35F0B">
        <w:rPr>
          <w:lang w:val="en-GB"/>
        </w:rPr>
        <w:t xml:space="preserve"> cigarettes per year). </w:t>
      </w:r>
    </w:p>
    <w:p w14:paraId="18B39199" w14:textId="77777777" w:rsidR="00FF44D6" w:rsidRPr="00B35F0B" w:rsidRDefault="00FF44D6" w:rsidP="00B67158">
      <w:pPr>
        <w:autoSpaceDE w:val="0"/>
        <w:autoSpaceDN w:val="0"/>
        <w:adjustRightInd w:val="0"/>
        <w:spacing w:line="480" w:lineRule="auto"/>
        <w:ind w:firstLine="709"/>
        <w:rPr>
          <w:lang w:val="en-GB"/>
        </w:rPr>
      </w:pPr>
      <w:r w:rsidRPr="00B35F0B">
        <w:rPr>
          <w:lang w:val="en-GB"/>
        </w:rPr>
        <w:t>A contest that require</w:t>
      </w:r>
      <w:r>
        <w:rPr>
          <w:lang w:val="en-GB"/>
        </w:rPr>
        <w:t>d</w:t>
      </w:r>
      <w:r w:rsidRPr="00B35F0B">
        <w:rPr>
          <w:lang w:val="en-GB"/>
        </w:rPr>
        <w:t xml:space="preserve"> participants to create a text message to motivate other participants to quit smoking (for </w:t>
      </w:r>
      <w:r w:rsidR="00536D6F">
        <w:rPr>
          <w:lang w:val="en-GB"/>
        </w:rPr>
        <w:t>non-</w:t>
      </w:r>
      <w:r w:rsidRPr="00B35F0B">
        <w:rPr>
          <w:lang w:val="en-GB"/>
        </w:rPr>
        <w:t>intenders) or</w:t>
      </w:r>
      <w:r w:rsidR="0012025C">
        <w:rPr>
          <w:lang w:val="en-GB"/>
        </w:rPr>
        <w:t xml:space="preserve"> to</w:t>
      </w:r>
      <w:r w:rsidRPr="00B35F0B">
        <w:rPr>
          <w:lang w:val="en-GB"/>
        </w:rPr>
        <w:t xml:space="preserve"> provide concrete ways to help others quit smoking (for intenders and actors) w</w:t>
      </w:r>
      <w:r>
        <w:rPr>
          <w:lang w:val="en-GB"/>
        </w:rPr>
        <w:t>as</w:t>
      </w:r>
      <w:r w:rsidRPr="00B35F0B">
        <w:rPr>
          <w:lang w:val="en-GB"/>
        </w:rPr>
        <w:t xml:space="preserve"> conducted twice during the intervention period. The best text message from each of the two categories, rated weekly by a tobacco cessation expert, </w:t>
      </w:r>
      <w:r>
        <w:rPr>
          <w:lang w:val="en-GB"/>
        </w:rPr>
        <w:t>was</w:t>
      </w:r>
      <w:r w:rsidRPr="00B35F0B">
        <w:rPr>
          <w:lang w:val="en-GB"/>
        </w:rPr>
        <w:t xml:space="preserve"> sent anonymously to participant</w:t>
      </w:r>
      <w:r w:rsidR="00D34E79">
        <w:rPr>
          <w:lang w:val="en-GB"/>
        </w:rPr>
        <w:t>s in the respective categories</w:t>
      </w:r>
      <w:r w:rsidRPr="00B35F0B">
        <w:rPr>
          <w:lang w:val="en-GB"/>
        </w:rPr>
        <w:t xml:space="preserve"> after 48 hours.</w:t>
      </w:r>
    </w:p>
    <w:p w14:paraId="3BE549CA" w14:textId="77777777" w:rsidR="00E700E3" w:rsidRDefault="002F42F0" w:rsidP="00B67158">
      <w:pPr>
        <w:autoSpaceDE w:val="0"/>
        <w:autoSpaceDN w:val="0"/>
        <w:adjustRightInd w:val="0"/>
        <w:spacing w:line="480" w:lineRule="auto"/>
        <w:ind w:firstLine="709"/>
        <w:rPr>
          <w:lang w:val="en-GB"/>
        </w:rPr>
      </w:pPr>
      <w:r>
        <w:rPr>
          <w:lang w:val="en-GB"/>
        </w:rPr>
        <w:t>Finally, additional text messages were offered to subjects</w:t>
      </w:r>
      <w:r w:rsidRPr="00B35F0B">
        <w:rPr>
          <w:lang w:val="en-GB"/>
        </w:rPr>
        <w:t xml:space="preserve"> who </w:t>
      </w:r>
      <w:r>
        <w:rPr>
          <w:lang w:val="en-GB"/>
        </w:rPr>
        <w:t xml:space="preserve">reported </w:t>
      </w:r>
      <w:r w:rsidR="00053981">
        <w:rPr>
          <w:lang w:val="en-GB"/>
        </w:rPr>
        <w:t xml:space="preserve">having </w:t>
      </w:r>
      <w:r>
        <w:rPr>
          <w:lang w:val="en-GB"/>
        </w:rPr>
        <w:t xml:space="preserve">the intention to quit smoking. Intenders and actors were </w:t>
      </w:r>
      <w:r w:rsidR="00CE333E">
        <w:rPr>
          <w:lang w:val="en-GB"/>
        </w:rPr>
        <w:t>informed</w:t>
      </w:r>
      <w:r>
        <w:rPr>
          <w:lang w:val="en-GB"/>
        </w:rPr>
        <w:t xml:space="preserve"> biweekly </w:t>
      </w:r>
      <w:r w:rsidR="00CE333E">
        <w:rPr>
          <w:lang w:val="en-GB"/>
        </w:rPr>
        <w:t>about the option of receiving additional information around a ch</w:t>
      </w:r>
      <w:r w:rsidR="009C1427">
        <w:rPr>
          <w:lang w:val="en-GB"/>
        </w:rPr>
        <w:t>osen quit-date</w:t>
      </w:r>
      <w:r w:rsidR="00CE333E">
        <w:rPr>
          <w:lang w:val="en-GB"/>
        </w:rPr>
        <w:t xml:space="preserve">. </w:t>
      </w:r>
      <w:r w:rsidRPr="00B35F0B">
        <w:rPr>
          <w:lang w:val="en-GB"/>
        </w:rPr>
        <w:t>After entering a scheduled quit date, the program provide</w:t>
      </w:r>
      <w:r>
        <w:rPr>
          <w:lang w:val="en-GB"/>
        </w:rPr>
        <w:t>d</w:t>
      </w:r>
      <w:r w:rsidRPr="00B35F0B">
        <w:rPr>
          <w:lang w:val="en-GB"/>
        </w:rPr>
        <w:t xml:space="preserve"> up to two daily text messages </w:t>
      </w:r>
      <w:r w:rsidR="00CE333E">
        <w:rPr>
          <w:lang w:val="en-GB"/>
        </w:rPr>
        <w:t xml:space="preserve">on quit-day preparation and relapse prevention </w:t>
      </w:r>
      <w:r w:rsidRPr="00B35F0B">
        <w:rPr>
          <w:lang w:val="en-GB"/>
        </w:rPr>
        <w:t>(weeks –1 to +1: two daily text messages; weeks +2 and +3: one daily text message</w:t>
      </w:r>
      <w:r w:rsidR="00CE333E">
        <w:rPr>
          <w:lang w:val="en-GB"/>
        </w:rPr>
        <w:t xml:space="preserve">). </w:t>
      </w:r>
    </w:p>
    <w:p w14:paraId="664C8E7E" w14:textId="77777777" w:rsidR="003F4928" w:rsidRDefault="003F4928" w:rsidP="00475AE7">
      <w:pPr>
        <w:spacing w:line="480" w:lineRule="auto"/>
        <w:rPr>
          <w:lang w:val="en-GB"/>
        </w:rPr>
      </w:pPr>
    </w:p>
    <w:p w14:paraId="220355E3" w14:textId="77777777" w:rsidR="00475AE7" w:rsidRPr="002840A4" w:rsidRDefault="00475AE7" w:rsidP="00475AE7">
      <w:pPr>
        <w:spacing w:line="480" w:lineRule="auto"/>
        <w:rPr>
          <w:i/>
          <w:lang w:val="en-GB"/>
        </w:rPr>
      </w:pPr>
      <w:r>
        <w:rPr>
          <w:i/>
          <w:lang w:val="en-GB"/>
        </w:rPr>
        <w:t>2.3 Measures</w:t>
      </w:r>
    </w:p>
    <w:p w14:paraId="75029E55" w14:textId="77777777" w:rsidR="00EC7A19" w:rsidRPr="00F23555" w:rsidRDefault="00F42DD4" w:rsidP="00EC7A19">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cs="Arial"/>
          <w:lang w:val="en-GB"/>
        </w:rPr>
      </w:pPr>
      <w:r w:rsidRPr="00F42DD4">
        <w:rPr>
          <w:rFonts w:cs="Arial"/>
          <w:lang w:val="en-GB"/>
        </w:rPr>
        <w:lastRenderedPageBreak/>
        <w:t xml:space="preserve">Participants took part in an online health survey during a regular class session, by which data on potential </w:t>
      </w:r>
      <w:r>
        <w:rPr>
          <w:rFonts w:cs="Arial"/>
          <w:lang w:val="en-GB"/>
        </w:rPr>
        <w:t>predictors of engagement</w:t>
      </w:r>
      <w:r w:rsidRPr="00F42DD4">
        <w:rPr>
          <w:rFonts w:cs="Arial"/>
          <w:lang w:val="en-GB"/>
        </w:rPr>
        <w:t xml:space="preserve"> and outcome variables were collected.</w:t>
      </w:r>
      <w:r>
        <w:rPr>
          <w:rFonts w:cs="Arial"/>
          <w:lang w:val="en-GB"/>
        </w:rPr>
        <w:t xml:space="preserve"> </w:t>
      </w:r>
      <w:r w:rsidR="00E865DB">
        <w:rPr>
          <w:rFonts w:cs="Arial"/>
          <w:lang w:val="en-GB"/>
        </w:rPr>
        <w:t>The s</w:t>
      </w:r>
      <w:r>
        <w:rPr>
          <w:rFonts w:cs="Arial"/>
          <w:lang w:val="en-GB"/>
        </w:rPr>
        <w:t xml:space="preserve">ocio-demographic </w:t>
      </w:r>
      <w:r w:rsidR="00621584">
        <w:rPr>
          <w:rFonts w:cs="Arial"/>
          <w:lang w:val="en-GB"/>
        </w:rPr>
        <w:t>characteristics</w:t>
      </w:r>
      <w:r>
        <w:rPr>
          <w:rFonts w:cs="Arial"/>
          <w:lang w:val="en-GB"/>
        </w:rPr>
        <w:t xml:space="preserve"> that were assessed were gender, age, educational attainment</w:t>
      </w:r>
      <w:r w:rsidR="00536589">
        <w:rPr>
          <w:rFonts w:cs="Arial"/>
          <w:lang w:val="en-GB"/>
        </w:rPr>
        <w:t>,</w:t>
      </w:r>
      <w:r>
        <w:rPr>
          <w:rFonts w:cs="Arial"/>
          <w:lang w:val="en-GB"/>
        </w:rPr>
        <w:t xml:space="preserve"> and immigra</w:t>
      </w:r>
      <w:r w:rsidR="00E865DB">
        <w:rPr>
          <w:rFonts w:cs="Arial"/>
          <w:lang w:val="en-GB"/>
        </w:rPr>
        <w:t>nt</w:t>
      </w:r>
      <w:r>
        <w:rPr>
          <w:rFonts w:cs="Arial"/>
          <w:lang w:val="en-GB"/>
        </w:rPr>
        <w:t xml:space="preserve"> background. The following c</w:t>
      </w:r>
      <w:r w:rsidR="00EC7A19" w:rsidRPr="00F23555">
        <w:rPr>
          <w:rFonts w:cs="Arial"/>
          <w:lang w:val="en-GB"/>
        </w:rPr>
        <w:t xml:space="preserve">ommon </w:t>
      </w:r>
      <w:r>
        <w:rPr>
          <w:rFonts w:cs="Arial"/>
          <w:lang w:val="en-GB"/>
        </w:rPr>
        <w:t xml:space="preserve">Swiss levels of </w:t>
      </w:r>
      <w:r w:rsidR="00EC7A19" w:rsidRPr="00F23555">
        <w:rPr>
          <w:rFonts w:cs="Arial"/>
          <w:lang w:val="en-GB"/>
        </w:rPr>
        <w:t>educational attainment were assessed: (1) none, (2) secondary school, (3) extended secondary school</w:t>
      </w:r>
      <w:r w:rsidR="00BF782C">
        <w:rPr>
          <w:rFonts w:cs="Arial"/>
          <w:lang w:val="en-GB"/>
        </w:rPr>
        <w:t>,</w:t>
      </w:r>
      <w:r w:rsidR="00EC7A19" w:rsidRPr="00F23555">
        <w:rPr>
          <w:rFonts w:cs="Arial"/>
          <w:lang w:val="en-GB"/>
        </w:rPr>
        <w:t xml:space="preserve"> and (4) technical or high school. We assessed the country of birth of both parents of the </w:t>
      </w:r>
      <w:r w:rsidR="00EC7A19">
        <w:rPr>
          <w:rFonts w:cs="Arial"/>
          <w:lang w:val="en-GB"/>
        </w:rPr>
        <w:t xml:space="preserve">students </w:t>
      </w:r>
      <w:r w:rsidR="00EC7A19" w:rsidRPr="00F23555">
        <w:rPr>
          <w:rFonts w:cs="Arial"/>
          <w:lang w:val="en-GB"/>
        </w:rPr>
        <w:t xml:space="preserve">to identify </w:t>
      </w:r>
      <w:r w:rsidR="004254AC">
        <w:rPr>
          <w:rFonts w:cs="Arial"/>
          <w:lang w:val="en-GB"/>
        </w:rPr>
        <w:t xml:space="preserve">any </w:t>
      </w:r>
      <w:r w:rsidR="00EC7A19" w:rsidRPr="00F23555">
        <w:rPr>
          <w:rFonts w:cs="Arial"/>
          <w:lang w:val="en-GB"/>
        </w:rPr>
        <w:t xml:space="preserve">potential </w:t>
      </w:r>
      <w:r w:rsidR="00EC7A19">
        <w:rPr>
          <w:rFonts w:cs="Arial"/>
          <w:lang w:val="en-GB"/>
        </w:rPr>
        <w:t xml:space="preserve">immigrant </w:t>
      </w:r>
      <w:r w:rsidR="00EC7A19" w:rsidRPr="00F23555">
        <w:rPr>
          <w:rFonts w:cs="Arial"/>
          <w:lang w:val="en-GB"/>
        </w:rPr>
        <w:t xml:space="preserve">background. Based on this information, </w:t>
      </w:r>
      <w:r w:rsidR="00EC7A19">
        <w:rPr>
          <w:rFonts w:cs="Arial"/>
          <w:lang w:val="en-GB"/>
        </w:rPr>
        <w:t xml:space="preserve">participants </w:t>
      </w:r>
      <w:r w:rsidR="00EC7A19" w:rsidRPr="00F23555">
        <w:rPr>
          <w:rFonts w:cs="Arial"/>
          <w:lang w:val="en-GB"/>
        </w:rPr>
        <w:t>were assigned to one of the following categories: (1) neither parent born outside Switzerland, (2) one parent born outside Switzerland</w:t>
      </w:r>
      <w:r w:rsidR="004254AC">
        <w:rPr>
          <w:rFonts w:cs="Arial"/>
          <w:lang w:val="en-GB"/>
        </w:rPr>
        <w:t>,</w:t>
      </w:r>
      <w:r w:rsidR="00EC7A19">
        <w:rPr>
          <w:rFonts w:cs="Arial"/>
          <w:lang w:val="en-GB"/>
        </w:rPr>
        <w:t xml:space="preserve"> </w:t>
      </w:r>
      <w:proofErr w:type="gramStart"/>
      <w:r w:rsidR="00EC7A19">
        <w:rPr>
          <w:rFonts w:cs="Arial"/>
          <w:lang w:val="en-GB"/>
        </w:rPr>
        <w:t>or</w:t>
      </w:r>
      <w:proofErr w:type="gramEnd"/>
      <w:r w:rsidR="00EC7A19">
        <w:rPr>
          <w:rFonts w:cs="Arial"/>
          <w:lang w:val="en-GB"/>
        </w:rPr>
        <w:t xml:space="preserve"> </w:t>
      </w:r>
      <w:r w:rsidR="00EC7A19" w:rsidRPr="00F23555">
        <w:rPr>
          <w:rFonts w:cs="Arial"/>
          <w:lang w:val="en-GB"/>
        </w:rPr>
        <w:t>(3) both parents born outside Switzerland.</w:t>
      </w:r>
      <w:r w:rsidR="00BF782C">
        <w:rPr>
          <w:rFonts w:cs="Arial"/>
          <w:lang w:val="en-GB"/>
        </w:rPr>
        <w:t xml:space="preserve"> For further analysis</w:t>
      </w:r>
      <w:r w:rsidR="00BF782C" w:rsidRPr="002840A4">
        <w:rPr>
          <w:rFonts w:cs="Arial"/>
          <w:lang w:val="en-GB"/>
        </w:rPr>
        <w:t xml:space="preserve">, we </w:t>
      </w:r>
      <w:r w:rsidR="00BF782C">
        <w:rPr>
          <w:rFonts w:cs="Arial"/>
          <w:lang w:val="en-GB"/>
        </w:rPr>
        <w:t>grouped subjects with either a one</w:t>
      </w:r>
      <w:r w:rsidR="00BF782C" w:rsidRPr="002840A4">
        <w:rPr>
          <w:rFonts w:cs="Arial"/>
          <w:lang w:val="en-GB"/>
        </w:rPr>
        <w:t xml:space="preserve">- </w:t>
      </w:r>
      <w:r w:rsidR="00BF782C">
        <w:rPr>
          <w:rFonts w:cs="Arial"/>
          <w:lang w:val="en-GB"/>
        </w:rPr>
        <w:t>or</w:t>
      </w:r>
      <w:r w:rsidR="00BF782C" w:rsidRPr="002840A4">
        <w:rPr>
          <w:rFonts w:cs="Arial"/>
          <w:lang w:val="en-GB"/>
        </w:rPr>
        <w:t xml:space="preserve"> </w:t>
      </w:r>
      <w:r w:rsidR="00BF782C">
        <w:rPr>
          <w:rFonts w:cs="Arial"/>
          <w:lang w:val="en-GB"/>
        </w:rPr>
        <w:t>two</w:t>
      </w:r>
      <w:r w:rsidR="00BF782C" w:rsidRPr="002840A4">
        <w:rPr>
          <w:rFonts w:cs="Arial"/>
          <w:lang w:val="en-GB"/>
        </w:rPr>
        <w:t>-side</w:t>
      </w:r>
      <w:r w:rsidR="00BF782C">
        <w:rPr>
          <w:rFonts w:cs="Arial"/>
          <w:lang w:val="en-GB"/>
        </w:rPr>
        <w:t>d</w:t>
      </w:r>
      <w:r w:rsidR="00BF782C" w:rsidRPr="002840A4">
        <w:rPr>
          <w:rFonts w:cs="Arial"/>
          <w:lang w:val="en-GB"/>
        </w:rPr>
        <w:t xml:space="preserve"> immigrant background into a single category </w:t>
      </w:r>
      <w:r w:rsidR="00BF782C">
        <w:rPr>
          <w:rFonts w:cs="Arial"/>
          <w:lang w:val="en-GB"/>
        </w:rPr>
        <w:t>for comparison against</w:t>
      </w:r>
      <w:r w:rsidR="00BF782C" w:rsidRPr="002840A4">
        <w:rPr>
          <w:rFonts w:cs="Arial"/>
          <w:lang w:val="en-GB"/>
        </w:rPr>
        <w:t xml:space="preserve"> non-immigrant</w:t>
      </w:r>
      <w:r w:rsidR="00BF782C">
        <w:rPr>
          <w:rFonts w:cs="Arial"/>
          <w:lang w:val="en-GB"/>
        </w:rPr>
        <w:t>s</w:t>
      </w:r>
      <w:r w:rsidR="00BF782C" w:rsidRPr="002840A4">
        <w:rPr>
          <w:rFonts w:cs="Arial"/>
          <w:lang w:val="en-GB"/>
        </w:rPr>
        <w:t>.</w:t>
      </w:r>
    </w:p>
    <w:p w14:paraId="00811DEA" w14:textId="42E65D63" w:rsidR="00EC7A19" w:rsidRPr="00950C91" w:rsidRDefault="00B67158" w:rsidP="00B6715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9"/>
        <w:jc w:val="both"/>
        <w:rPr>
          <w:rFonts w:cs="Arial"/>
          <w:lang w:val="en-GB"/>
        </w:rPr>
      </w:pPr>
      <w:r>
        <w:rPr>
          <w:rFonts w:cs="Arial"/>
          <w:lang w:val="en-GB"/>
        </w:rPr>
        <w:t>The h</w:t>
      </w:r>
      <w:r w:rsidR="00EC7A19" w:rsidRPr="00F23555">
        <w:rPr>
          <w:rFonts w:cs="Arial"/>
          <w:lang w:val="en-GB"/>
        </w:rPr>
        <w:t xml:space="preserve">ealth-related </w:t>
      </w:r>
      <w:r w:rsidR="00621584">
        <w:rPr>
          <w:rFonts w:cs="Arial"/>
          <w:lang w:val="en-GB"/>
        </w:rPr>
        <w:t>variables</w:t>
      </w:r>
      <w:r w:rsidR="00EC7A19" w:rsidRPr="00F23555">
        <w:rPr>
          <w:rFonts w:cs="Arial"/>
          <w:lang w:val="en-GB"/>
        </w:rPr>
        <w:t xml:space="preserve"> </w:t>
      </w:r>
      <w:r w:rsidR="00F42DD4">
        <w:rPr>
          <w:rFonts w:cs="Arial"/>
          <w:lang w:val="en-GB"/>
        </w:rPr>
        <w:t xml:space="preserve">that </w:t>
      </w:r>
      <w:r w:rsidR="00EC7A19" w:rsidRPr="00F23555">
        <w:rPr>
          <w:rFonts w:cs="Arial"/>
          <w:lang w:val="en-GB"/>
        </w:rPr>
        <w:t>were assessed</w:t>
      </w:r>
      <w:r w:rsidR="00F42DD4">
        <w:rPr>
          <w:rFonts w:cs="Arial"/>
          <w:lang w:val="en-GB"/>
        </w:rPr>
        <w:t xml:space="preserve"> </w:t>
      </w:r>
      <w:r w:rsidR="00F35CC0">
        <w:rPr>
          <w:rFonts w:cs="Arial"/>
          <w:lang w:val="en-GB"/>
        </w:rPr>
        <w:t>were</w:t>
      </w:r>
      <w:r w:rsidR="00EC7A19" w:rsidRPr="00F23555">
        <w:rPr>
          <w:rFonts w:cs="Arial"/>
          <w:lang w:val="en-GB"/>
        </w:rPr>
        <w:t xml:space="preserve"> </w:t>
      </w:r>
      <w:r w:rsidR="00EC7A19">
        <w:rPr>
          <w:rFonts w:cs="Arial"/>
          <w:lang w:val="en-GB"/>
        </w:rPr>
        <w:t xml:space="preserve">perceived stress, </w:t>
      </w:r>
      <w:r w:rsidR="00EC7A19" w:rsidRPr="00F23555">
        <w:rPr>
          <w:rFonts w:cs="Arial"/>
          <w:lang w:val="en-GB"/>
        </w:rPr>
        <w:t>physical activity</w:t>
      </w:r>
      <w:r w:rsidR="00EC7A19">
        <w:rPr>
          <w:rFonts w:cs="Arial"/>
          <w:lang w:val="en-GB"/>
        </w:rPr>
        <w:t xml:space="preserve">, body weight, typical </w:t>
      </w:r>
      <w:r w:rsidR="00F42DD4">
        <w:rPr>
          <w:rFonts w:cs="Arial"/>
          <w:lang w:val="en-GB"/>
        </w:rPr>
        <w:t xml:space="preserve">number of </w:t>
      </w:r>
      <w:r w:rsidR="004254AC">
        <w:rPr>
          <w:rFonts w:cs="Arial"/>
          <w:lang w:val="en-GB"/>
        </w:rPr>
        <w:t xml:space="preserve">drinks </w:t>
      </w:r>
      <w:r w:rsidR="00F42DD4">
        <w:rPr>
          <w:rFonts w:cs="Arial"/>
          <w:lang w:val="en-GB"/>
        </w:rPr>
        <w:t>consumed per week</w:t>
      </w:r>
      <w:r w:rsidR="00EC7A19">
        <w:rPr>
          <w:rFonts w:cs="Arial"/>
          <w:lang w:val="en-GB"/>
        </w:rPr>
        <w:t xml:space="preserve">, and </w:t>
      </w:r>
      <w:r w:rsidR="004254AC">
        <w:rPr>
          <w:rFonts w:cs="Arial"/>
          <w:lang w:val="en-GB"/>
        </w:rPr>
        <w:t xml:space="preserve">whether any </w:t>
      </w:r>
      <w:r w:rsidR="00F42DD4">
        <w:rPr>
          <w:rFonts w:cs="Arial"/>
          <w:lang w:val="en-GB"/>
        </w:rPr>
        <w:t>binge drinking</w:t>
      </w:r>
      <w:r w:rsidR="00EC7A19">
        <w:rPr>
          <w:rFonts w:cs="Arial"/>
          <w:lang w:val="en-GB"/>
        </w:rPr>
        <w:t xml:space="preserve"> </w:t>
      </w:r>
      <w:r w:rsidR="004254AC">
        <w:rPr>
          <w:rFonts w:cs="Arial"/>
          <w:lang w:val="en-GB"/>
        </w:rPr>
        <w:t xml:space="preserve">had occurred </w:t>
      </w:r>
      <w:r w:rsidR="00EC7A19">
        <w:rPr>
          <w:rFonts w:cs="Arial"/>
          <w:lang w:val="en-GB"/>
        </w:rPr>
        <w:t>in the month</w:t>
      </w:r>
      <w:r w:rsidR="00F42DD4">
        <w:rPr>
          <w:rFonts w:cs="Arial"/>
          <w:lang w:val="en-GB"/>
        </w:rPr>
        <w:t xml:space="preserve"> </w:t>
      </w:r>
      <w:r w:rsidR="004254AC">
        <w:rPr>
          <w:rFonts w:cs="Arial"/>
          <w:lang w:val="en-GB"/>
        </w:rPr>
        <w:t xml:space="preserve">prior </w:t>
      </w:r>
      <w:r w:rsidR="00F42DD4">
        <w:rPr>
          <w:rFonts w:cs="Arial"/>
          <w:lang w:val="en-GB"/>
        </w:rPr>
        <w:t xml:space="preserve">to </w:t>
      </w:r>
      <w:r w:rsidR="004254AC">
        <w:rPr>
          <w:rFonts w:cs="Arial"/>
          <w:lang w:val="en-GB"/>
        </w:rPr>
        <w:t xml:space="preserve">the </w:t>
      </w:r>
      <w:r w:rsidR="00F42DD4">
        <w:rPr>
          <w:rFonts w:cs="Arial"/>
          <w:lang w:val="en-GB"/>
        </w:rPr>
        <w:t>baseline</w:t>
      </w:r>
      <w:r w:rsidR="004254AC">
        <w:rPr>
          <w:rFonts w:cs="Arial"/>
          <w:lang w:val="en-GB"/>
        </w:rPr>
        <w:t xml:space="preserve"> assessment</w:t>
      </w:r>
      <w:r w:rsidR="00EC7A19" w:rsidRPr="00F23555">
        <w:rPr>
          <w:rFonts w:cs="Arial"/>
          <w:lang w:val="en-GB"/>
        </w:rPr>
        <w:t xml:space="preserve">. </w:t>
      </w:r>
      <w:r w:rsidR="00EC7A19">
        <w:rPr>
          <w:rFonts w:cs="Arial"/>
          <w:lang w:val="en-GB"/>
        </w:rPr>
        <w:t xml:space="preserve">Perceived stress was measured </w:t>
      </w:r>
      <w:r w:rsidR="004254AC">
        <w:rPr>
          <w:rFonts w:cs="Arial"/>
          <w:lang w:val="en-GB"/>
        </w:rPr>
        <w:t>using</w:t>
      </w:r>
      <w:r w:rsidR="00EC7A19">
        <w:rPr>
          <w:rFonts w:cs="Arial"/>
          <w:lang w:val="en-GB"/>
        </w:rPr>
        <w:t xml:space="preserve"> the following single item: “</w:t>
      </w:r>
      <w:r w:rsidR="00EC7A19" w:rsidRPr="00356EEF">
        <w:rPr>
          <w:rFonts w:cs="Arial"/>
          <w:lang w:val="en-GB"/>
        </w:rPr>
        <w:t xml:space="preserve">In the last month, how severely have you felt stressed?” Participants </w:t>
      </w:r>
      <w:r w:rsidR="004254AC">
        <w:rPr>
          <w:rFonts w:cs="Arial"/>
          <w:lang w:val="en-GB"/>
        </w:rPr>
        <w:t xml:space="preserve">were asked to </w:t>
      </w:r>
      <w:r w:rsidR="00EC7A19" w:rsidRPr="00356EEF">
        <w:rPr>
          <w:rFonts w:cs="Arial"/>
          <w:lang w:val="en-GB"/>
        </w:rPr>
        <w:t xml:space="preserve">indicate their response on a 6-point </w:t>
      </w:r>
      <w:r w:rsidR="004254AC">
        <w:rPr>
          <w:rFonts w:cs="Arial"/>
          <w:lang w:val="en-GB"/>
        </w:rPr>
        <w:t>L</w:t>
      </w:r>
      <w:r w:rsidR="00EC7A19" w:rsidRPr="00356EEF">
        <w:rPr>
          <w:rFonts w:cs="Arial"/>
          <w:lang w:val="en-GB"/>
        </w:rPr>
        <w:t xml:space="preserve">ikert scale </w:t>
      </w:r>
      <w:r w:rsidR="004254AC">
        <w:rPr>
          <w:rFonts w:cs="Arial"/>
          <w:lang w:val="en-GB"/>
        </w:rPr>
        <w:t xml:space="preserve">that ranged </w:t>
      </w:r>
      <w:r w:rsidR="00EC7A19" w:rsidRPr="00356EEF">
        <w:rPr>
          <w:rFonts w:cs="Arial"/>
          <w:lang w:val="en-GB"/>
        </w:rPr>
        <w:t xml:space="preserve">from “not at all” to “very”. </w:t>
      </w:r>
      <w:r w:rsidR="00EC7A19" w:rsidRPr="00F23555">
        <w:rPr>
          <w:rFonts w:cs="Arial"/>
          <w:lang w:val="en-GB"/>
        </w:rPr>
        <w:t>Self-reported moderate</w:t>
      </w:r>
      <w:r w:rsidR="004254AC">
        <w:rPr>
          <w:rFonts w:cs="Arial"/>
          <w:lang w:val="en-GB"/>
        </w:rPr>
        <w:t>-</w:t>
      </w:r>
      <w:r w:rsidR="00EC7A19" w:rsidRPr="00F23555">
        <w:rPr>
          <w:rFonts w:cs="Arial"/>
          <w:lang w:val="en-GB"/>
        </w:rPr>
        <w:t>to</w:t>
      </w:r>
      <w:r w:rsidR="004254AC">
        <w:rPr>
          <w:rFonts w:cs="Arial"/>
          <w:lang w:val="en-GB"/>
        </w:rPr>
        <w:t>-</w:t>
      </w:r>
      <w:r w:rsidR="00EC7A19" w:rsidRPr="00F23555">
        <w:rPr>
          <w:rFonts w:cs="Arial"/>
          <w:lang w:val="en-GB"/>
        </w:rPr>
        <w:t xml:space="preserve">vigorous physical activity (VPA) was measured by a question derived from the Health Behaviour in School Aged Children </w:t>
      </w:r>
      <w:r w:rsidR="00BF782C">
        <w:rPr>
          <w:rFonts w:cs="Arial"/>
          <w:lang w:val="en-GB"/>
        </w:rPr>
        <w:t xml:space="preserve">(HBSC) study </w:t>
      </w:r>
      <w:r w:rsidR="00E91A9D" w:rsidRPr="00E91A9D">
        <w:rPr>
          <w:lang w:val="en-GB"/>
        </w:rPr>
        <w:t>[26]</w:t>
      </w:r>
      <w:r w:rsidR="00A4555F">
        <w:rPr>
          <w:rFonts w:cs="Arial"/>
          <w:lang w:val="en-GB"/>
        </w:rPr>
        <w:t>:</w:t>
      </w:r>
      <w:r w:rsidR="00EC7A19" w:rsidRPr="00F23555">
        <w:rPr>
          <w:rFonts w:cs="Arial"/>
          <w:lang w:val="en-GB"/>
        </w:rPr>
        <w:t xml:space="preserve"> “Outside school</w:t>
      </w:r>
      <w:r w:rsidR="004254AC">
        <w:rPr>
          <w:rFonts w:cs="Arial"/>
          <w:lang w:val="en-GB"/>
        </w:rPr>
        <w:t>, h</w:t>
      </w:r>
      <w:r w:rsidR="00EC7A19" w:rsidRPr="00F23555">
        <w:rPr>
          <w:rFonts w:cs="Arial"/>
          <w:lang w:val="en-GB"/>
        </w:rPr>
        <w:t xml:space="preserve">ow many hours a week do you exercise or participate in sports that make you sweat or out of breath?” </w:t>
      </w:r>
      <w:r w:rsidR="00A4555F">
        <w:rPr>
          <w:rFonts w:cs="Arial"/>
          <w:lang w:val="en-GB"/>
        </w:rPr>
        <w:t>T</w:t>
      </w:r>
      <w:r w:rsidR="004254AC">
        <w:rPr>
          <w:rFonts w:cs="Arial"/>
          <w:lang w:val="en-GB"/>
        </w:rPr>
        <w:t>he t</w:t>
      </w:r>
      <w:r w:rsidR="00A4555F">
        <w:rPr>
          <w:rFonts w:cs="Arial"/>
          <w:lang w:val="en-GB"/>
        </w:rPr>
        <w:t xml:space="preserve">ypical number of drinks </w:t>
      </w:r>
      <w:r w:rsidR="004254AC">
        <w:rPr>
          <w:rFonts w:cs="Arial"/>
          <w:lang w:val="en-GB"/>
        </w:rPr>
        <w:t xml:space="preserve">consumed </w:t>
      </w:r>
      <w:r w:rsidR="00A4555F">
        <w:rPr>
          <w:rFonts w:cs="Arial"/>
          <w:lang w:val="en-GB"/>
        </w:rPr>
        <w:t>week</w:t>
      </w:r>
      <w:r w:rsidR="004254AC">
        <w:rPr>
          <w:rFonts w:cs="Arial"/>
          <w:lang w:val="en-GB"/>
        </w:rPr>
        <w:t>ly</w:t>
      </w:r>
      <w:r w:rsidR="00EC7A19" w:rsidRPr="00950C91">
        <w:rPr>
          <w:rFonts w:cs="Arial"/>
          <w:lang w:val="en-GB"/>
        </w:rPr>
        <w:t xml:space="preserve"> was assessed via a </w:t>
      </w:r>
      <w:r w:rsidR="004254AC">
        <w:rPr>
          <w:rFonts w:cs="Arial"/>
          <w:lang w:val="en-GB"/>
        </w:rPr>
        <w:t>seven</w:t>
      </w:r>
      <w:r w:rsidR="00EC7A19" w:rsidRPr="00950C91">
        <w:rPr>
          <w:rFonts w:cs="Arial"/>
          <w:lang w:val="en-GB"/>
        </w:rPr>
        <w:t xml:space="preserve">-day drinking calendar similar to the Daily Drinking Questionnaire </w:t>
      </w:r>
      <w:r w:rsidR="00E91A9D" w:rsidRPr="00E91A9D">
        <w:rPr>
          <w:lang w:val="en-GB"/>
        </w:rPr>
        <w:t>[27]</w:t>
      </w:r>
      <w:r w:rsidR="00EC7A19" w:rsidRPr="00950C91">
        <w:rPr>
          <w:rFonts w:cs="Arial"/>
          <w:lang w:val="en-GB"/>
        </w:rPr>
        <w:t xml:space="preserve">, for which participants were asked to think about a typical week in the preceding month and record the number of standard drinks they typically consumed each day during that week. Examples of standard drinks containing 12–14 g of ethanol were provided for beer, wine, spirits, alcopops, and cocktails, along with conversion values (e.g., three 0.5 L cans of </w:t>
      </w:r>
      <w:r w:rsidR="00A4555F">
        <w:rPr>
          <w:rFonts w:cs="Arial"/>
          <w:lang w:val="en-GB"/>
        </w:rPr>
        <w:t>beer =</w:t>
      </w:r>
      <w:r w:rsidR="00EC7A19" w:rsidRPr="00950C91">
        <w:rPr>
          <w:rFonts w:cs="Arial"/>
          <w:lang w:val="en-GB"/>
        </w:rPr>
        <w:t xml:space="preserve"> 6 standard drinks). </w:t>
      </w:r>
      <w:r w:rsidR="00A4555F">
        <w:rPr>
          <w:rFonts w:cs="Arial"/>
          <w:lang w:val="en-GB"/>
        </w:rPr>
        <w:lastRenderedPageBreak/>
        <w:t>Binge drinking</w:t>
      </w:r>
      <w:r w:rsidR="00EC7A19">
        <w:rPr>
          <w:rFonts w:cs="Arial"/>
          <w:lang w:val="en-GB"/>
        </w:rPr>
        <w:t xml:space="preserve"> </w:t>
      </w:r>
      <w:r w:rsidR="00EC7A19" w:rsidRPr="00950C91">
        <w:rPr>
          <w:rFonts w:cs="Arial"/>
          <w:lang w:val="en-GB"/>
        </w:rPr>
        <w:t xml:space="preserve">was assessed by asking participants to report the number of standard drinks </w:t>
      </w:r>
      <w:r w:rsidR="00E865DB">
        <w:rPr>
          <w:rFonts w:cs="Arial"/>
          <w:lang w:val="en-GB"/>
        </w:rPr>
        <w:t xml:space="preserve">they </w:t>
      </w:r>
      <w:r w:rsidR="00EC7A19" w:rsidRPr="00950C91">
        <w:rPr>
          <w:rFonts w:cs="Arial"/>
          <w:lang w:val="en-GB"/>
        </w:rPr>
        <w:t>consumed on the</w:t>
      </w:r>
      <w:r w:rsidR="004254AC">
        <w:rPr>
          <w:rFonts w:cs="Arial"/>
          <w:lang w:val="en-GB"/>
        </w:rPr>
        <w:t>ir</w:t>
      </w:r>
      <w:r w:rsidR="00EC7A19" w:rsidRPr="00950C91">
        <w:rPr>
          <w:rFonts w:cs="Arial"/>
          <w:lang w:val="en-GB"/>
        </w:rPr>
        <w:t xml:space="preserve"> heaviest drinking occasion </w:t>
      </w:r>
      <w:r w:rsidR="004254AC">
        <w:rPr>
          <w:rFonts w:cs="Arial"/>
          <w:lang w:val="en-GB"/>
        </w:rPr>
        <w:t>over</w:t>
      </w:r>
      <w:r w:rsidR="00EC7A19" w:rsidRPr="00950C91">
        <w:rPr>
          <w:rFonts w:cs="Arial"/>
          <w:lang w:val="en-GB"/>
        </w:rPr>
        <w:t xml:space="preserve"> the preceding 30 days.</w:t>
      </w:r>
    </w:p>
    <w:p w14:paraId="7465575F" w14:textId="77777777" w:rsidR="00621584" w:rsidRDefault="00EC7A19" w:rsidP="00B6715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9"/>
        <w:jc w:val="both"/>
        <w:rPr>
          <w:rFonts w:cs="Arial"/>
          <w:lang w:val="en-GB"/>
        </w:rPr>
      </w:pPr>
      <w:r w:rsidRPr="00F23555">
        <w:rPr>
          <w:rFonts w:cs="Arial"/>
          <w:lang w:val="en-GB"/>
        </w:rPr>
        <w:t xml:space="preserve">Tobacco smoking </w:t>
      </w:r>
      <w:r>
        <w:rPr>
          <w:rFonts w:cs="Arial"/>
          <w:lang w:val="en-GB"/>
        </w:rPr>
        <w:t xml:space="preserve">status </w:t>
      </w:r>
      <w:r w:rsidRPr="00F23555">
        <w:rPr>
          <w:rFonts w:cs="Arial"/>
          <w:lang w:val="en-GB"/>
        </w:rPr>
        <w:t xml:space="preserve">was assessed using the question, “Are you currently smoking cigarettes?” with the following response options: (1) </w:t>
      </w:r>
      <w:r>
        <w:rPr>
          <w:rFonts w:cs="Arial"/>
          <w:lang w:val="en-GB"/>
        </w:rPr>
        <w:t xml:space="preserve">Yes - </w:t>
      </w:r>
      <w:r w:rsidRPr="00F23555">
        <w:rPr>
          <w:rFonts w:cs="Arial"/>
          <w:lang w:val="en-GB"/>
        </w:rPr>
        <w:t xml:space="preserve">I smoke cigarettes daily; (2) </w:t>
      </w:r>
      <w:r>
        <w:rPr>
          <w:rFonts w:cs="Arial"/>
          <w:lang w:val="en-GB"/>
        </w:rPr>
        <w:t xml:space="preserve">Yes - </w:t>
      </w:r>
      <w:r w:rsidRPr="00F23555">
        <w:rPr>
          <w:rFonts w:cs="Arial"/>
          <w:lang w:val="en-GB"/>
        </w:rPr>
        <w:t xml:space="preserve">I smoke cigarettes occasionally, </w:t>
      </w:r>
      <w:r>
        <w:rPr>
          <w:rFonts w:cs="Arial"/>
          <w:lang w:val="en-GB"/>
        </w:rPr>
        <w:t>but not daily</w:t>
      </w:r>
      <w:r w:rsidR="004254AC">
        <w:rPr>
          <w:rFonts w:cs="Arial"/>
          <w:lang w:val="en-GB"/>
        </w:rPr>
        <w:t>;</w:t>
      </w:r>
      <w:r>
        <w:rPr>
          <w:rFonts w:cs="Arial"/>
          <w:lang w:val="en-GB"/>
        </w:rPr>
        <w:t xml:space="preserve"> and </w:t>
      </w:r>
      <w:r w:rsidRPr="00F23555">
        <w:rPr>
          <w:rFonts w:cs="Arial"/>
          <w:lang w:val="en-GB"/>
        </w:rPr>
        <w:t xml:space="preserve">(3) </w:t>
      </w:r>
      <w:r>
        <w:rPr>
          <w:rFonts w:cs="Arial"/>
          <w:lang w:val="en-GB"/>
        </w:rPr>
        <w:t xml:space="preserve">No. </w:t>
      </w:r>
      <w:r w:rsidRPr="00F23555">
        <w:rPr>
          <w:rFonts w:cs="Arial"/>
          <w:lang w:val="en-GB"/>
        </w:rPr>
        <w:t>In occasional smokers</w:t>
      </w:r>
      <w:r>
        <w:rPr>
          <w:rFonts w:cs="Arial"/>
          <w:lang w:val="en-GB"/>
        </w:rPr>
        <w:t>,</w:t>
      </w:r>
      <w:r w:rsidRPr="00F23555">
        <w:rPr>
          <w:rFonts w:cs="Arial"/>
          <w:lang w:val="en-GB"/>
        </w:rPr>
        <w:t xml:space="preserve"> we assessed the number of days they typically smoke</w:t>
      </w:r>
      <w:r>
        <w:rPr>
          <w:rFonts w:cs="Arial"/>
          <w:lang w:val="en-GB"/>
        </w:rPr>
        <w:t>d</w:t>
      </w:r>
      <w:r w:rsidRPr="00F23555">
        <w:rPr>
          <w:rFonts w:cs="Arial"/>
          <w:lang w:val="en-GB"/>
        </w:rPr>
        <w:t xml:space="preserve"> per month</w:t>
      </w:r>
      <w:r w:rsidR="00105C3D">
        <w:rPr>
          <w:rFonts w:cs="Arial"/>
          <w:lang w:val="en-GB"/>
        </w:rPr>
        <w:t>,</w:t>
      </w:r>
      <w:r w:rsidRPr="00F23555">
        <w:rPr>
          <w:rFonts w:cs="Arial"/>
          <w:lang w:val="en-GB"/>
        </w:rPr>
        <w:t xml:space="preserve"> the total number of cigarettes smoked within the previous </w:t>
      </w:r>
      <w:r w:rsidR="004254AC">
        <w:rPr>
          <w:rFonts w:cs="Arial"/>
          <w:lang w:val="en-GB"/>
        </w:rPr>
        <w:t>seven</w:t>
      </w:r>
      <w:r w:rsidRPr="00F23555">
        <w:rPr>
          <w:rFonts w:cs="Arial"/>
          <w:lang w:val="en-GB"/>
        </w:rPr>
        <w:t xml:space="preserve"> days</w:t>
      </w:r>
      <w:r w:rsidR="00105C3D">
        <w:rPr>
          <w:rFonts w:cs="Arial"/>
          <w:lang w:val="en-GB"/>
        </w:rPr>
        <w:t>, and the number of cigarettes smoked on a typical smoking day</w:t>
      </w:r>
      <w:r w:rsidRPr="00F23555">
        <w:rPr>
          <w:rFonts w:cs="Arial"/>
          <w:lang w:val="en-GB"/>
        </w:rPr>
        <w:t>.</w:t>
      </w:r>
      <w:r w:rsidR="00621584">
        <w:rPr>
          <w:rFonts w:cs="Arial"/>
          <w:lang w:val="en-GB"/>
        </w:rPr>
        <w:t xml:space="preserve"> In daily smokers, we only assessed the mean number of cigarettes smoked per day.</w:t>
      </w:r>
      <w:r w:rsidRPr="00F23555">
        <w:rPr>
          <w:rFonts w:cs="Arial"/>
          <w:lang w:val="en-GB"/>
        </w:rPr>
        <w:t xml:space="preserve"> </w:t>
      </w:r>
      <w:r w:rsidR="00621584" w:rsidRPr="00F23555">
        <w:rPr>
          <w:lang w:val="en-GB"/>
        </w:rPr>
        <w:t xml:space="preserve">For occasional smokers, the </w:t>
      </w:r>
      <w:r w:rsidR="004254AC">
        <w:rPr>
          <w:lang w:val="en-GB"/>
        </w:rPr>
        <w:t xml:space="preserve">average </w:t>
      </w:r>
      <w:r w:rsidR="00621584" w:rsidRPr="00F23555">
        <w:rPr>
          <w:lang w:val="en-GB"/>
        </w:rPr>
        <w:t>number of cigarettes smoked per day was computed by multiplying the typical num</w:t>
      </w:r>
      <w:r w:rsidR="00621584">
        <w:rPr>
          <w:lang w:val="en-GB"/>
        </w:rPr>
        <w:t>ber of smoking days per month with</w:t>
      </w:r>
      <w:r w:rsidR="00621584" w:rsidRPr="00F23555">
        <w:rPr>
          <w:lang w:val="en-GB"/>
        </w:rPr>
        <w:t xml:space="preserve"> the number of cigarettes smoked on a typical smoking day</w:t>
      </w:r>
      <w:r w:rsidR="004254AC">
        <w:rPr>
          <w:lang w:val="en-GB"/>
        </w:rPr>
        <w:t>, and</w:t>
      </w:r>
      <w:r w:rsidR="00621584" w:rsidRPr="00F23555">
        <w:rPr>
          <w:lang w:val="en-GB"/>
        </w:rPr>
        <w:t xml:space="preserve"> divid</w:t>
      </w:r>
      <w:r w:rsidR="004254AC">
        <w:rPr>
          <w:lang w:val="en-GB"/>
        </w:rPr>
        <w:t>ing this product</w:t>
      </w:r>
      <w:r w:rsidR="00621584" w:rsidRPr="00F23555">
        <w:rPr>
          <w:lang w:val="en-GB"/>
        </w:rPr>
        <w:t xml:space="preserve"> by 30.</w:t>
      </w:r>
    </w:p>
    <w:p w14:paraId="6ED5CEA5" w14:textId="77777777" w:rsidR="00EC7A19" w:rsidRDefault="00105C3D" w:rsidP="00B6715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9"/>
        <w:jc w:val="both"/>
        <w:rPr>
          <w:lang w:val="en-GB"/>
        </w:rPr>
      </w:pPr>
      <w:r>
        <w:rPr>
          <w:rFonts w:cs="Arial"/>
          <w:lang w:val="en-GB"/>
        </w:rPr>
        <w:t>A</w:t>
      </w:r>
      <w:r w:rsidR="00EC7A19" w:rsidRPr="00F23555">
        <w:rPr>
          <w:lang w:val="en-GB"/>
        </w:rPr>
        <w:t>dditionally</w:t>
      </w:r>
      <w:r w:rsidR="00E865DB">
        <w:rPr>
          <w:lang w:val="en-GB"/>
        </w:rPr>
        <w:t>,</w:t>
      </w:r>
      <w:r w:rsidR="00EC7A19" w:rsidRPr="00F23555">
        <w:rPr>
          <w:lang w:val="en-GB"/>
        </w:rPr>
        <w:t xml:space="preserve"> </w:t>
      </w:r>
      <w:r>
        <w:rPr>
          <w:lang w:val="en-GB"/>
        </w:rPr>
        <w:t xml:space="preserve">we </w:t>
      </w:r>
      <w:r w:rsidR="00EC7A19" w:rsidRPr="00F23555">
        <w:rPr>
          <w:lang w:val="en-GB"/>
        </w:rPr>
        <w:t>assessed the following smoking</w:t>
      </w:r>
      <w:r w:rsidR="00EC7A19">
        <w:rPr>
          <w:lang w:val="en-GB"/>
        </w:rPr>
        <w:t>-</w:t>
      </w:r>
      <w:r w:rsidR="00EC7A19" w:rsidRPr="00F23555">
        <w:rPr>
          <w:lang w:val="en-GB"/>
        </w:rPr>
        <w:t xml:space="preserve">related variables: </w:t>
      </w:r>
      <w:r w:rsidR="004254AC">
        <w:rPr>
          <w:lang w:val="en-GB"/>
        </w:rPr>
        <w:t xml:space="preserve">HAPA </w:t>
      </w:r>
      <w:r w:rsidR="00EC7A19" w:rsidRPr="00F23555">
        <w:rPr>
          <w:lang w:val="en-GB"/>
        </w:rPr>
        <w:t>stage of change</w:t>
      </w:r>
      <w:r w:rsidR="004254AC">
        <w:rPr>
          <w:lang w:val="en-GB"/>
        </w:rPr>
        <w:t xml:space="preserve">, </w:t>
      </w:r>
      <w:r w:rsidR="00E865DB">
        <w:rPr>
          <w:lang w:val="en-GB"/>
        </w:rPr>
        <w:t xml:space="preserve">and </w:t>
      </w:r>
      <w:r w:rsidR="004254AC">
        <w:rPr>
          <w:lang w:val="en-GB"/>
        </w:rPr>
        <w:t xml:space="preserve">the number of </w:t>
      </w:r>
      <w:r w:rsidR="00EC7A19" w:rsidRPr="00F23555">
        <w:rPr>
          <w:lang w:val="en-GB"/>
        </w:rPr>
        <w:t xml:space="preserve">previous quit attempts. </w:t>
      </w:r>
      <w:r w:rsidR="004254AC">
        <w:rPr>
          <w:lang w:val="en-GB"/>
        </w:rPr>
        <w:t xml:space="preserve">Each subject’s HAPA </w:t>
      </w:r>
      <w:r w:rsidR="00EC7A19" w:rsidRPr="00F23555">
        <w:rPr>
          <w:lang w:val="en-GB"/>
        </w:rPr>
        <w:t xml:space="preserve">stage of change was assessed </w:t>
      </w:r>
      <w:r w:rsidR="004254AC">
        <w:rPr>
          <w:lang w:val="en-GB"/>
        </w:rPr>
        <w:t>using</w:t>
      </w:r>
      <w:r w:rsidR="00EC7A19" w:rsidRPr="00F23555">
        <w:rPr>
          <w:lang w:val="en-GB"/>
        </w:rPr>
        <w:t xml:space="preserve"> the </w:t>
      </w:r>
      <w:r w:rsidR="00EC7A19">
        <w:rPr>
          <w:lang w:val="en-GB"/>
        </w:rPr>
        <w:t xml:space="preserve">following </w:t>
      </w:r>
      <w:r w:rsidR="00EC7A19" w:rsidRPr="00F23555">
        <w:rPr>
          <w:lang w:val="en-GB"/>
        </w:rPr>
        <w:t>question: “Have you recently smoked cigarettes?” with the following response options (1) “Yes, and I do not intend to quit” (Pre</w:t>
      </w:r>
      <w:r w:rsidR="00BA4A73">
        <w:rPr>
          <w:lang w:val="en-GB"/>
        </w:rPr>
        <w:t>-</w:t>
      </w:r>
      <w:r w:rsidR="00EC7A19" w:rsidRPr="00F23555">
        <w:rPr>
          <w:lang w:val="en-GB"/>
        </w:rPr>
        <w:t xml:space="preserve">contemplation), (2) “Yes, but I am considering </w:t>
      </w:r>
      <w:r w:rsidR="00EC7A19">
        <w:rPr>
          <w:lang w:val="en-GB"/>
        </w:rPr>
        <w:t>quitting</w:t>
      </w:r>
      <w:r w:rsidR="00EC7A19" w:rsidRPr="00F23555">
        <w:rPr>
          <w:lang w:val="en-GB"/>
        </w:rPr>
        <w:t xml:space="preserve">” (Contemplation), </w:t>
      </w:r>
      <w:r w:rsidR="004254AC">
        <w:rPr>
          <w:lang w:val="en-GB"/>
        </w:rPr>
        <w:t xml:space="preserve">and </w:t>
      </w:r>
      <w:r w:rsidR="00EC7A19" w:rsidRPr="00F23555">
        <w:rPr>
          <w:lang w:val="en-GB"/>
        </w:rPr>
        <w:t xml:space="preserve">(3) “Yes, but I seriously intend to quit” (Preparation). </w:t>
      </w:r>
      <w:r w:rsidR="004254AC">
        <w:rPr>
          <w:lang w:val="en-GB"/>
        </w:rPr>
        <w:t>Subjects were asked about their p</w:t>
      </w:r>
      <w:r w:rsidR="00EC7A19" w:rsidRPr="00F23555">
        <w:rPr>
          <w:lang w:val="en-GB"/>
        </w:rPr>
        <w:t>revious attempt</w:t>
      </w:r>
      <w:r w:rsidR="00621584">
        <w:rPr>
          <w:lang w:val="en-GB"/>
        </w:rPr>
        <w:t xml:space="preserve">s </w:t>
      </w:r>
      <w:r w:rsidR="004254AC">
        <w:rPr>
          <w:lang w:val="en-GB"/>
        </w:rPr>
        <w:t xml:space="preserve">to quit smoking with </w:t>
      </w:r>
      <w:r w:rsidR="00621584">
        <w:rPr>
          <w:lang w:val="en-GB"/>
        </w:rPr>
        <w:t>the question</w:t>
      </w:r>
      <w:r w:rsidR="00E865DB">
        <w:rPr>
          <w:lang w:val="en-GB"/>
        </w:rPr>
        <w:t xml:space="preserve"> —</w:t>
      </w:r>
      <w:r w:rsidR="00621584">
        <w:rPr>
          <w:lang w:val="en-GB"/>
        </w:rPr>
        <w:t xml:space="preserve"> “</w:t>
      </w:r>
      <w:r w:rsidR="00EC7A19" w:rsidRPr="00F23555">
        <w:rPr>
          <w:lang w:val="en-GB"/>
        </w:rPr>
        <w:t>Have you ever made a serious attempt to quit smoking?”</w:t>
      </w:r>
      <w:r w:rsidR="004254AC">
        <w:rPr>
          <w:lang w:val="en-GB"/>
        </w:rPr>
        <w:t xml:space="preserve"> </w:t>
      </w:r>
      <w:r w:rsidR="00E865DB">
        <w:rPr>
          <w:lang w:val="en-GB"/>
        </w:rPr>
        <w:t xml:space="preserve">— </w:t>
      </w:r>
      <w:proofErr w:type="gramStart"/>
      <w:r w:rsidR="004254AC">
        <w:rPr>
          <w:lang w:val="en-GB"/>
        </w:rPr>
        <w:t>for</w:t>
      </w:r>
      <w:proofErr w:type="gramEnd"/>
      <w:r w:rsidR="004254AC">
        <w:rPr>
          <w:lang w:val="en-GB"/>
        </w:rPr>
        <w:t xml:space="preserve"> which they were provided </w:t>
      </w:r>
      <w:r w:rsidR="00EC7A19" w:rsidRPr="00F23555">
        <w:rPr>
          <w:lang w:val="en-GB"/>
        </w:rPr>
        <w:t>the response options “</w:t>
      </w:r>
      <w:r w:rsidR="00E865DB">
        <w:rPr>
          <w:lang w:val="en-GB"/>
        </w:rPr>
        <w:t>N</w:t>
      </w:r>
      <w:r w:rsidR="00EC7A19" w:rsidRPr="00F23555">
        <w:rPr>
          <w:lang w:val="en-GB"/>
        </w:rPr>
        <w:t>o”, “</w:t>
      </w:r>
      <w:r w:rsidR="00E865DB">
        <w:rPr>
          <w:lang w:val="en-GB"/>
        </w:rPr>
        <w:t>Y</w:t>
      </w:r>
      <w:r w:rsidR="00EC7A19" w:rsidRPr="00F23555">
        <w:rPr>
          <w:lang w:val="en-GB"/>
        </w:rPr>
        <w:t>es – once”</w:t>
      </w:r>
      <w:r w:rsidR="004254AC">
        <w:rPr>
          <w:lang w:val="en-GB"/>
        </w:rPr>
        <w:t>,</w:t>
      </w:r>
      <w:r w:rsidR="00EC7A19" w:rsidRPr="00F23555">
        <w:rPr>
          <w:lang w:val="en-GB"/>
        </w:rPr>
        <w:t xml:space="preserve"> and “</w:t>
      </w:r>
      <w:r w:rsidR="00E865DB">
        <w:rPr>
          <w:lang w:val="en-GB"/>
        </w:rPr>
        <w:t>Y</w:t>
      </w:r>
      <w:r w:rsidR="00EC7A19" w:rsidRPr="00F23555">
        <w:rPr>
          <w:lang w:val="en-GB"/>
        </w:rPr>
        <w:t xml:space="preserve">es – more than once”. </w:t>
      </w:r>
    </w:p>
    <w:p w14:paraId="1B659458" w14:textId="77777777" w:rsidR="00621584" w:rsidRPr="004124BB" w:rsidRDefault="00621584" w:rsidP="00B6715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firstLine="709"/>
        <w:jc w:val="both"/>
        <w:rPr>
          <w:lang w:val="en-GB"/>
        </w:rPr>
      </w:pPr>
      <w:r>
        <w:rPr>
          <w:lang w:val="en-GB"/>
        </w:rPr>
        <w:t>Engagement with</w:t>
      </w:r>
      <w:r w:rsidRPr="004124BB">
        <w:rPr>
          <w:lang w:val="en-GB"/>
        </w:rPr>
        <w:t xml:space="preserve"> the program</w:t>
      </w:r>
      <w:r>
        <w:rPr>
          <w:lang w:val="en-GB"/>
        </w:rPr>
        <w:t xml:space="preserve"> was assessed </w:t>
      </w:r>
      <w:r w:rsidR="00F80C78">
        <w:rPr>
          <w:lang w:val="en-GB"/>
        </w:rPr>
        <w:t xml:space="preserve">in terms of </w:t>
      </w:r>
      <w:r w:rsidRPr="004124BB">
        <w:rPr>
          <w:lang w:val="en-GB"/>
        </w:rPr>
        <w:t>the number of program participants who unsubscribed from the program (program attrition)</w:t>
      </w:r>
      <w:r w:rsidR="000274EB">
        <w:rPr>
          <w:lang w:val="en-GB"/>
        </w:rPr>
        <w:t>, t</w:t>
      </w:r>
      <w:r w:rsidR="000274EB" w:rsidRPr="004124BB">
        <w:rPr>
          <w:lang w:val="en-GB"/>
        </w:rPr>
        <w:t xml:space="preserve">he number of responses to the weekly </w:t>
      </w:r>
      <w:r w:rsidR="000274EB">
        <w:rPr>
          <w:lang w:val="en-GB"/>
        </w:rPr>
        <w:t>text message prompts,</w:t>
      </w:r>
      <w:r w:rsidR="0071140D">
        <w:rPr>
          <w:lang w:val="en-GB"/>
        </w:rPr>
        <w:t xml:space="preserve"> the </w:t>
      </w:r>
      <w:r w:rsidR="004C02F3">
        <w:rPr>
          <w:lang w:val="en-GB"/>
        </w:rPr>
        <w:t>percentage</w:t>
      </w:r>
      <w:r w:rsidR="0071140D">
        <w:rPr>
          <w:lang w:val="en-GB"/>
        </w:rPr>
        <w:t xml:space="preserve"> of retrieved </w:t>
      </w:r>
      <w:r w:rsidR="004C02F3">
        <w:rPr>
          <w:lang w:val="en-GB"/>
        </w:rPr>
        <w:t>versus</w:t>
      </w:r>
      <w:r w:rsidR="0071140D">
        <w:rPr>
          <w:lang w:val="en-GB"/>
        </w:rPr>
        <w:t xml:space="preserve"> sent media objects within the program, </w:t>
      </w:r>
      <w:r w:rsidR="000274EB" w:rsidRPr="004124BB">
        <w:rPr>
          <w:lang w:val="en-GB"/>
        </w:rPr>
        <w:t>and</w:t>
      </w:r>
      <w:r w:rsidR="000274EB">
        <w:rPr>
          <w:lang w:val="en-GB"/>
        </w:rPr>
        <w:t xml:space="preserve"> the number of smokers </w:t>
      </w:r>
      <w:r w:rsidR="004C02F3">
        <w:rPr>
          <w:lang w:val="en-GB"/>
        </w:rPr>
        <w:t>who</w:t>
      </w:r>
      <w:r w:rsidR="000274EB">
        <w:rPr>
          <w:lang w:val="en-GB"/>
        </w:rPr>
        <w:t xml:space="preserve"> </w:t>
      </w:r>
      <w:r w:rsidR="007734AD">
        <w:rPr>
          <w:lang w:val="en-GB"/>
        </w:rPr>
        <w:t>entered a quit-</w:t>
      </w:r>
      <w:r w:rsidR="0071140D">
        <w:rPr>
          <w:lang w:val="en-GB"/>
        </w:rPr>
        <w:t>date and activated the additional quit-day preparation program</w:t>
      </w:r>
      <w:r w:rsidRPr="004124BB">
        <w:rPr>
          <w:lang w:val="en-GB"/>
        </w:rPr>
        <w:t>.</w:t>
      </w:r>
      <w:r w:rsidRPr="004124BB">
        <w:rPr>
          <w:rFonts w:cs="Arial"/>
          <w:lang w:val="en-GB"/>
        </w:rPr>
        <w:t xml:space="preserve"> </w:t>
      </w:r>
    </w:p>
    <w:p w14:paraId="22F8A5F3" w14:textId="77777777" w:rsidR="00621584" w:rsidRDefault="00E66551" w:rsidP="00B67158">
      <w:pPr>
        <w:autoSpaceDE w:val="0"/>
        <w:autoSpaceDN w:val="0"/>
        <w:adjustRightInd w:val="0"/>
        <w:spacing w:line="480" w:lineRule="auto"/>
        <w:ind w:firstLine="709"/>
        <w:rPr>
          <w:rFonts w:cs="Arial"/>
          <w:lang w:val="en-GB"/>
        </w:rPr>
      </w:pPr>
      <w:r>
        <w:rPr>
          <w:rFonts w:cs="Arial"/>
          <w:lang w:val="en-GB"/>
        </w:rPr>
        <w:t>Smoking behaviour at six-month follow-up was</w:t>
      </w:r>
      <w:r w:rsidR="007734AD">
        <w:rPr>
          <w:rFonts w:cs="Arial"/>
          <w:lang w:val="en-GB"/>
        </w:rPr>
        <w:t xml:space="preserve"> assessed </w:t>
      </w:r>
      <w:r w:rsidR="00F80C78">
        <w:rPr>
          <w:rFonts w:cs="Arial"/>
          <w:lang w:val="en-GB"/>
        </w:rPr>
        <w:t>as the</w:t>
      </w:r>
      <w:r>
        <w:rPr>
          <w:rFonts w:cs="Arial"/>
          <w:lang w:val="en-GB"/>
        </w:rPr>
        <w:t xml:space="preserve"> (1) 7-day point prevalence </w:t>
      </w:r>
      <w:r w:rsidR="00F80C78">
        <w:rPr>
          <w:rFonts w:cs="Arial"/>
          <w:lang w:val="en-GB"/>
        </w:rPr>
        <w:t xml:space="preserve">of </w:t>
      </w:r>
      <w:r>
        <w:rPr>
          <w:rFonts w:cs="Arial"/>
          <w:lang w:val="en-GB"/>
        </w:rPr>
        <w:t>smoking abstinence</w:t>
      </w:r>
      <w:r w:rsidR="004A55C3">
        <w:rPr>
          <w:rFonts w:cs="Arial"/>
          <w:lang w:val="en-GB"/>
        </w:rPr>
        <w:t xml:space="preserve">; </w:t>
      </w:r>
      <w:r>
        <w:rPr>
          <w:rFonts w:cs="Arial"/>
          <w:lang w:val="en-GB"/>
        </w:rPr>
        <w:t xml:space="preserve">and (2) </w:t>
      </w:r>
      <w:r w:rsidR="00F80C78">
        <w:rPr>
          <w:rFonts w:cs="Arial"/>
          <w:lang w:val="en-GB"/>
        </w:rPr>
        <w:t xml:space="preserve">the </w:t>
      </w:r>
      <w:r w:rsidRPr="00F23555">
        <w:rPr>
          <w:lang w:val="en-GB"/>
        </w:rPr>
        <w:t>mean number of cigarettes smoked per day</w:t>
      </w:r>
      <w:r>
        <w:rPr>
          <w:lang w:val="en-GB"/>
        </w:rPr>
        <w:t xml:space="preserve">. </w:t>
      </w:r>
      <w:r w:rsidR="00F80C78">
        <w:rPr>
          <w:lang w:val="en-GB"/>
        </w:rPr>
        <w:t xml:space="preserve">To </w:t>
      </w:r>
      <w:r w:rsidR="00E41FF3">
        <w:rPr>
          <w:lang w:val="en-GB"/>
        </w:rPr>
        <w:lastRenderedPageBreak/>
        <w:t>assess</w:t>
      </w:r>
      <w:r w:rsidR="00F80C78">
        <w:rPr>
          <w:lang w:val="en-GB"/>
        </w:rPr>
        <w:t xml:space="preserve"> the</w:t>
      </w:r>
      <w:r w:rsidR="00E41FF3">
        <w:rPr>
          <w:lang w:val="en-GB"/>
        </w:rPr>
        <w:t xml:space="preserve"> 7-day point prevalence </w:t>
      </w:r>
      <w:r w:rsidR="00F80C78">
        <w:rPr>
          <w:lang w:val="en-GB"/>
        </w:rPr>
        <w:t xml:space="preserve">of </w:t>
      </w:r>
      <w:r w:rsidR="00E41FF3">
        <w:rPr>
          <w:lang w:val="en-GB"/>
        </w:rPr>
        <w:t xml:space="preserve">smoking abstinence, subjects </w:t>
      </w:r>
      <w:r w:rsidR="00F80C78">
        <w:rPr>
          <w:lang w:val="en-GB"/>
        </w:rPr>
        <w:t xml:space="preserve">were asked to </w:t>
      </w:r>
      <w:r w:rsidR="00E41FF3">
        <w:rPr>
          <w:lang w:val="en-GB"/>
        </w:rPr>
        <w:t xml:space="preserve">indicate whether they had </w:t>
      </w:r>
      <w:r w:rsidR="00F80C78">
        <w:rPr>
          <w:lang w:val="en-GB"/>
        </w:rPr>
        <w:t xml:space="preserve">taken </w:t>
      </w:r>
      <w:r w:rsidR="00E41FF3">
        <w:rPr>
          <w:lang w:val="en-GB"/>
        </w:rPr>
        <w:t xml:space="preserve">a puff </w:t>
      </w:r>
      <w:r w:rsidR="00F80C78">
        <w:rPr>
          <w:lang w:val="en-GB"/>
        </w:rPr>
        <w:t xml:space="preserve">of a cigarette </w:t>
      </w:r>
      <w:r w:rsidR="00E41FF3">
        <w:rPr>
          <w:lang w:val="en-GB"/>
        </w:rPr>
        <w:t xml:space="preserve">within the seven days previous to follow-up. </w:t>
      </w:r>
      <w:r w:rsidR="00FD052B">
        <w:rPr>
          <w:lang w:val="en-GB"/>
        </w:rPr>
        <w:t xml:space="preserve">The mean number of cigarettes smoked per day was assessed and computed </w:t>
      </w:r>
      <w:r w:rsidR="00F80C78">
        <w:rPr>
          <w:lang w:val="en-GB"/>
        </w:rPr>
        <w:t xml:space="preserve">in the same way as at </w:t>
      </w:r>
      <w:r w:rsidR="00FD052B">
        <w:rPr>
          <w:lang w:val="en-GB"/>
        </w:rPr>
        <w:t>the baseline assessment.</w:t>
      </w:r>
    </w:p>
    <w:p w14:paraId="380314AC" w14:textId="77777777" w:rsidR="00475AE7" w:rsidRPr="001762A7" w:rsidRDefault="00475AE7" w:rsidP="00475AE7">
      <w:pPr>
        <w:pStyle w:val="Listenabsatz"/>
        <w:autoSpaceDE w:val="0"/>
        <w:autoSpaceDN w:val="0"/>
        <w:adjustRightInd w:val="0"/>
        <w:spacing w:line="480" w:lineRule="auto"/>
        <w:ind w:left="426"/>
        <w:rPr>
          <w:rFonts w:cs="Arial"/>
          <w:lang w:val="en-GB"/>
        </w:rPr>
      </w:pPr>
    </w:p>
    <w:p w14:paraId="693CE991" w14:textId="77777777" w:rsidR="00475AE7" w:rsidRPr="002840A4" w:rsidRDefault="00FD3593" w:rsidP="00475AE7">
      <w:pPr>
        <w:spacing w:line="480" w:lineRule="auto"/>
        <w:rPr>
          <w:i/>
          <w:lang w:val="en-GB"/>
        </w:rPr>
      </w:pPr>
      <w:r>
        <w:rPr>
          <w:i/>
          <w:lang w:val="en-GB"/>
        </w:rPr>
        <w:t>2.4</w:t>
      </w:r>
      <w:r w:rsidR="00475AE7">
        <w:rPr>
          <w:i/>
          <w:lang w:val="en-GB"/>
        </w:rPr>
        <w:t xml:space="preserve"> Statistical</w:t>
      </w:r>
      <w:r w:rsidR="00475AE7" w:rsidRPr="002840A4">
        <w:rPr>
          <w:i/>
          <w:lang w:val="en-GB"/>
        </w:rPr>
        <w:t xml:space="preserve"> </w:t>
      </w:r>
      <w:r w:rsidR="00475AE7">
        <w:rPr>
          <w:i/>
          <w:lang w:val="en-GB"/>
        </w:rPr>
        <w:t>a</w:t>
      </w:r>
      <w:r w:rsidR="00475AE7" w:rsidRPr="002840A4">
        <w:rPr>
          <w:i/>
          <w:lang w:val="en-GB"/>
        </w:rPr>
        <w:t>nalys</w:t>
      </w:r>
      <w:r w:rsidR="00475AE7">
        <w:rPr>
          <w:i/>
          <w:lang w:val="en-GB"/>
        </w:rPr>
        <w:t>e</w:t>
      </w:r>
      <w:r w:rsidR="00475AE7" w:rsidRPr="002840A4">
        <w:rPr>
          <w:i/>
          <w:lang w:val="en-GB"/>
        </w:rPr>
        <w:t>s</w:t>
      </w:r>
    </w:p>
    <w:p w14:paraId="60D94CC5" w14:textId="6DBC7EA4" w:rsidR="00AB6CFE" w:rsidRDefault="003B7E6F" w:rsidP="00091877">
      <w:pPr>
        <w:spacing w:line="480" w:lineRule="auto"/>
        <w:rPr>
          <w:lang w:val="en-GB"/>
        </w:rPr>
      </w:pPr>
      <w:r>
        <w:rPr>
          <w:lang w:val="en-GB"/>
        </w:rPr>
        <w:t>As a first step</w:t>
      </w:r>
      <w:r w:rsidR="00E45A7F">
        <w:rPr>
          <w:lang w:val="en-GB"/>
        </w:rPr>
        <w:t xml:space="preserve">, we analysed whether </w:t>
      </w:r>
      <w:r w:rsidR="00ED3121">
        <w:rPr>
          <w:lang w:val="en-GB"/>
        </w:rPr>
        <w:t>persons who actively unsubscribed from the intervention differed from those who remained in the intervention</w:t>
      </w:r>
      <w:r>
        <w:rPr>
          <w:lang w:val="en-GB"/>
        </w:rPr>
        <w:t xml:space="preserve">, applying Pearson </w:t>
      </w:r>
      <w:r w:rsidR="00ED3121">
        <w:rPr>
          <w:lang w:val="en-GB"/>
        </w:rPr>
        <w:t xml:space="preserve">chi-square </w:t>
      </w:r>
      <w:r>
        <w:rPr>
          <w:lang w:val="en-GB"/>
        </w:rPr>
        <w:t xml:space="preserve">analysis </w:t>
      </w:r>
      <w:r w:rsidR="00ED3121">
        <w:rPr>
          <w:lang w:val="en-GB"/>
        </w:rPr>
        <w:t xml:space="preserve">to </w:t>
      </w:r>
      <w:r w:rsidR="0009524D">
        <w:rPr>
          <w:lang w:val="en-GB"/>
        </w:rPr>
        <w:t>examine</w:t>
      </w:r>
      <w:r w:rsidR="00ED3121">
        <w:rPr>
          <w:lang w:val="en-GB"/>
        </w:rPr>
        <w:t xml:space="preserve"> differences in categorical variables, and </w:t>
      </w:r>
      <w:r>
        <w:rPr>
          <w:lang w:val="en-GB"/>
        </w:rPr>
        <w:t xml:space="preserve">unpaired Student’s </w:t>
      </w:r>
      <w:r w:rsidR="00ED3121">
        <w:rPr>
          <w:lang w:val="en-GB"/>
        </w:rPr>
        <w:t xml:space="preserve">t tests for continuous variables. Given that the </w:t>
      </w:r>
      <w:r w:rsidR="00767B25">
        <w:rPr>
          <w:lang w:val="en-GB"/>
        </w:rPr>
        <w:t>combined</w:t>
      </w:r>
      <w:r w:rsidR="00ED3121">
        <w:rPr>
          <w:lang w:val="en-GB"/>
        </w:rPr>
        <w:t xml:space="preserve"> intervention was more extensive, we also examined </w:t>
      </w:r>
      <w:r w:rsidR="00C2008E">
        <w:rPr>
          <w:lang w:val="en-GB"/>
        </w:rPr>
        <w:t xml:space="preserve">whether program attrition differed </w:t>
      </w:r>
      <w:r w:rsidR="00ED3121">
        <w:rPr>
          <w:lang w:val="en-GB"/>
        </w:rPr>
        <w:t xml:space="preserve">as a function of study condition. </w:t>
      </w:r>
      <w:r w:rsidR="008F100D">
        <w:rPr>
          <w:lang w:val="en-GB"/>
        </w:rPr>
        <w:t xml:space="preserve">Participants who had </w:t>
      </w:r>
      <w:r w:rsidR="00767B25">
        <w:rPr>
          <w:lang w:val="en-GB"/>
        </w:rPr>
        <w:t xml:space="preserve">either </w:t>
      </w:r>
      <w:r w:rsidR="008F100D">
        <w:rPr>
          <w:lang w:val="en-GB"/>
        </w:rPr>
        <w:t xml:space="preserve">unsubscribed or did not receive the text messages, as seen from program log files, were excluded from </w:t>
      </w:r>
      <w:r w:rsidR="003E64C7">
        <w:rPr>
          <w:lang w:val="en-GB"/>
        </w:rPr>
        <w:t>further</w:t>
      </w:r>
      <w:r w:rsidR="008F100D">
        <w:rPr>
          <w:lang w:val="en-GB"/>
        </w:rPr>
        <w:t xml:space="preserve"> analysis. </w:t>
      </w:r>
      <w:r w:rsidR="00AB6CFE">
        <w:rPr>
          <w:lang w:val="en-GB"/>
        </w:rPr>
        <w:t>Then, w</w:t>
      </w:r>
      <w:r w:rsidR="00056F46">
        <w:rPr>
          <w:lang w:val="en-GB"/>
        </w:rPr>
        <w:t xml:space="preserve">e </w:t>
      </w:r>
      <w:r w:rsidR="00AB6CFE">
        <w:rPr>
          <w:lang w:val="en-GB"/>
        </w:rPr>
        <w:t>explored</w:t>
      </w:r>
      <w:r w:rsidR="00056F46">
        <w:rPr>
          <w:lang w:val="en-GB"/>
        </w:rPr>
        <w:t xml:space="preserve"> </w:t>
      </w:r>
      <w:r w:rsidR="00C576BB">
        <w:rPr>
          <w:lang w:val="en-GB"/>
        </w:rPr>
        <w:t xml:space="preserve">the use of different program features for the total sample and by </w:t>
      </w:r>
      <w:r>
        <w:rPr>
          <w:lang w:val="en-GB"/>
        </w:rPr>
        <w:t>treatment</w:t>
      </w:r>
      <w:r w:rsidR="004A55C3">
        <w:rPr>
          <w:lang w:val="en-GB"/>
        </w:rPr>
        <w:t xml:space="preserve"> </w:t>
      </w:r>
      <w:r>
        <w:rPr>
          <w:lang w:val="en-GB"/>
        </w:rPr>
        <w:t>arm</w:t>
      </w:r>
      <w:r w:rsidR="00C576BB">
        <w:rPr>
          <w:lang w:val="en-GB"/>
        </w:rPr>
        <w:t xml:space="preserve">. </w:t>
      </w:r>
    </w:p>
    <w:p w14:paraId="0B630D64" w14:textId="63DF2582" w:rsidR="00763BDE" w:rsidRDefault="003A06C2" w:rsidP="004A1AAA">
      <w:pPr>
        <w:spacing w:line="480" w:lineRule="auto"/>
        <w:ind w:firstLine="426"/>
        <w:rPr>
          <w:lang w:val="en-GB"/>
        </w:rPr>
      </w:pPr>
      <w:r>
        <w:rPr>
          <w:lang w:val="en-GB"/>
        </w:rPr>
        <w:t>Subsequent</w:t>
      </w:r>
      <w:r w:rsidR="00AB6CFE">
        <w:rPr>
          <w:lang w:val="en-GB"/>
        </w:rPr>
        <w:t>ly</w:t>
      </w:r>
      <w:r w:rsidR="00AA77DD">
        <w:rPr>
          <w:lang w:val="en-GB"/>
        </w:rPr>
        <w:t>,</w:t>
      </w:r>
      <w:r>
        <w:rPr>
          <w:lang w:val="en-GB"/>
        </w:rPr>
        <w:t xml:space="preserve"> we examined </w:t>
      </w:r>
      <w:r w:rsidR="00AA77DD">
        <w:rPr>
          <w:lang w:val="en-GB"/>
        </w:rPr>
        <w:t>engagement trajectories by analysing answers to weekly prompts</w:t>
      </w:r>
      <w:r w:rsidR="009A7F97">
        <w:rPr>
          <w:lang w:val="en-GB"/>
        </w:rPr>
        <w:t>,</w:t>
      </w:r>
      <w:r w:rsidR="00294B73">
        <w:rPr>
          <w:lang w:val="en-GB"/>
        </w:rPr>
        <w:t xml:space="preserve"> which </w:t>
      </w:r>
      <w:r w:rsidR="00763BDE">
        <w:rPr>
          <w:lang w:val="en-GB"/>
        </w:rPr>
        <w:t xml:space="preserve">were </w:t>
      </w:r>
      <w:r w:rsidR="00294B73">
        <w:rPr>
          <w:lang w:val="en-GB"/>
        </w:rPr>
        <w:t>identical for both study groups</w:t>
      </w:r>
      <w:r w:rsidR="00AA77DD">
        <w:rPr>
          <w:lang w:val="en-GB"/>
        </w:rPr>
        <w:t xml:space="preserve">. </w:t>
      </w:r>
      <w:r w:rsidR="00294B73">
        <w:rPr>
          <w:lang w:val="en-GB"/>
        </w:rPr>
        <w:t>To this end, w</w:t>
      </w:r>
      <w:r w:rsidR="00AA77DD">
        <w:rPr>
          <w:lang w:val="en-GB"/>
        </w:rPr>
        <w:t>e performed sequence analys</w:t>
      </w:r>
      <w:r w:rsidR="00D555D8">
        <w:rPr>
          <w:lang w:val="en-GB"/>
        </w:rPr>
        <w:t xml:space="preserve">is using the </w:t>
      </w:r>
      <w:proofErr w:type="spellStart"/>
      <w:r w:rsidR="00D555D8">
        <w:rPr>
          <w:lang w:val="en-GB"/>
        </w:rPr>
        <w:t>TraMineR</w:t>
      </w:r>
      <w:proofErr w:type="spellEnd"/>
      <w:r w:rsidR="00D555D8">
        <w:rPr>
          <w:lang w:val="en-GB"/>
        </w:rPr>
        <w:t xml:space="preserve"> library (v</w:t>
      </w:r>
      <w:r w:rsidR="00AA77DD">
        <w:rPr>
          <w:lang w:val="en-GB"/>
        </w:rPr>
        <w:t>ersion 1.8-8) in R</w:t>
      </w:r>
      <w:r w:rsidR="00D555D8">
        <w:rPr>
          <w:lang w:val="en-GB"/>
        </w:rPr>
        <w:t xml:space="preserve"> </w:t>
      </w:r>
      <w:r w:rsidR="00E91A9D" w:rsidRPr="00E91A9D">
        <w:rPr>
          <w:lang w:val="en-GB"/>
        </w:rPr>
        <w:t>[28]</w:t>
      </w:r>
      <w:r w:rsidR="00AA77DD">
        <w:rPr>
          <w:lang w:val="en-GB"/>
        </w:rPr>
        <w:t xml:space="preserve">. </w:t>
      </w:r>
      <w:r w:rsidR="00091877">
        <w:rPr>
          <w:lang w:val="en-GB"/>
        </w:rPr>
        <w:t xml:space="preserve">For each participant, answers to prompts (as described above) were ordered into a sequence of states (i.e., engagement trajectories). </w:t>
      </w:r>
      <w:r w:rsidR="00091877" w:rsidRPr="00091877">
        <w:rPr>
          <w:lang w:val="en-GB"/>
        </w:rPr>
        <w:t xml:space="preserve">Similarities between </w:t>
      </w:r>
      <w:r w:rsidR="00091877">
        <w:rPr>
          <w:lang w:val="en-GB"/>
        </w:rPr>
        <w:t>participants’</w:t>
      </w:r>
      <w:r w:rsidR="00091877" w:rsidRPr="00091877">
        <w:rPr>
          <w:lang w:val="en-GB"/>
        </w:rPr>
        <w:t xml:space="preserve"> state sequences were computed using the optimal matching (OM) distance algorithm. OM is defined as the minimal effort, in terms of insertions, deletions and substitutions, of transforming one sequence into another</w:t>
      </w:r>
      <w:r w:rsidR="00763BDE">
        <w:rPr>
          <w:lang w:val="en-GB"/>
        </w:rPr>
        <w:t xml:space="preserve">. </w:t>
      </w:r>
      <w:r w:rsidR="00091877" w:rsidRPr="00091877">
        <w:rPr>
          <w:lang w:val="en-GB"/>
        </w:rPr>
        <w:t xml:space="preserve">Homogeneous </w:t>
      </w:r>
      <w:r w:rsidR="00294B73">
        <w:rPr>
          <w:lang w:val="en-GB"/>
        </w:rPr>
        <w:t xml:space="preserve">engagement </w:t>
      </w:r>
      <w:r w:rsidR="00091877" w:rsidRPr="00091877">
        <w:rPr>
          <w:lang w:val="en-GB"/>
        </w:rPr>
        <w:t>trajectory groups (clusters) were then constructed from the distance matrix</w:t>
      </w:r>
      <w:r w:rsidR="003B7E6F">
        <w:rPr>
          <w:lang w:val="en-GB"/>
        </w:rPr>
        <w:t>,</w:t>
      </w:r>
      <w:r w:rsidR="00091877" w:rsidRPr="00091877">
        <w:rPr>
          <w:lang w:val="en-GB"/>
        </w:rPr>
        <w:t xml:space="preserve"> using agglomerative nesting hierarchical clustering and Ward’s linkage method. The </w:t>
      </w:r>
      <w:r w:rsidR="00294B73">
        <w:rPr>
          <w:lang w:val="en-GB"/>
        </w:rPr>
        <w:t>number of clusters chosen</w:t>
      </w:r>
      <w:r w:rsidR="00091877" w:rsidRPr="00091877">
        <w:rPr>
          <w:lang w:val="en-GB"/>
        </w:rPr>
        <w:t xml:space="preserve"> was based on the </w:t>
      </w:r>
      <w:r w:rsidR="00D51104">
        <w:rPr>
          <w:lang w:val="en-GB"/>
        </w:rPr>
        <w:t xml:space="preserve">highest relative </w:t>
      </w:r>
      <w:r w:rsidR="00091877" w:rsidRPr="00091877">
        <w:rPr>
          <w:lang w:val="en-GB"/>
        </w:rPr>
        <w:t>loss of inertia</w:t>
      </w:r>
      <w:r w:rsidR="00EC49B4">
        <w:rPr>
          <w:lang w:val="en-GB"/>
        </w:rPr>
        <w:t xml:space="preserve"> (see function HCPC in </w:t>
      </w:r>
      <w:proofErr w:type="spellStart"/>
      <w:r w:rsidR="00EC49B4">
        <w:rPr>
          <w:lang w:val="en-GB"/>
        </w:rPr>
        <w:t>FactoMineR</w:t>
      </w:r>
      <w:proofErr w:type="spellEnd"/>
      <w:r w:rsidR="00EC49B4">
        <w:rPr>
          <w:lang w:val="en-GB"/>
        </w:rPr>
        <w:t xml:space="preserve"> package </w:t>
      </w:r>
      <w:r w:rsidR="00E91A9D" w:rsidRPr="00E91A9D">
        <w:rPr>
          <w:lang w:val="en-GB"/>
        </w:rPr>
        <w:t>[29]</w:t>
      </w:r>
      <w:r w:rsidR="00EC49B4">
        <w:rPr>
          <w:lang w:val="en-GB"/>
        </w:rPr>
        <w:t xml:space="preserve">) </w:t>
      </w:r>
      <w:r w:rsidR="00091877" w:rsidRPr="00091877">
        <w:rPr>
          <w:lang w:val="en-GB"/>
        </w:rPr>
        <w:t>and</w:t>
      </w:r>
      <w:r w:rsidR="00D51104">
        <w:rPr>
          <w:lang w:val="en-GB"/>
        </w:rPr>
        <w:t xml:space="preserve"> </w:t>
      </w:r>
      <w:r w:rsidR="004A55C3">
        <w:rPr>
          <w:lang w:val="en-GB"/>
        </w:rPr>
        <w:t>up</w:t>
      </w:r>
      <w:r w:rsidR="00D51104">
        <w:rPr>
          <w:lang w:val="en-GB"/>
        </w:rPr>
        <w:t>on the quality of the clusters according to</w:t>
      </w:r>
      <w:r w:rsidR="00091877" w:rsidRPr="00091877">
        <w:rPr>
          <w:lang w:val="en-GB"/>
        </w:rPr>
        <w:t xml:space="preserve"> </w:t>
      </w:r>
      <w:r w:rsidR="00C03FFD">
        <w:rPr>
          <w:lang w:val="en-GB"/>
        </w:rPr>
        <w:t xml:space="preserve">the </w:t>
      </w:r>
      <w:r w:rsidR="00091877" w:rsidRPr="00091877">
        <w:rPr>
          <w:lang w:val="en-GB"/>
        </w:rPr>
        <w:t xml:space="preserve">average silhouette width </w:t>
      </w:r>
      <w:r w:rsidR="00E91A9D" w:rsidRPr="00E91A9D">
        <w:rPr>
          <w:lang w:val="en-GB"/>
        </w:rPr>
        <w:t>[ASW, 30]</w:t>
      </w:r>
      <w:r w:rsidR="00C03FFD">
        <w:rPr>
          <w:lang w:val="en-GB"/>
        </w:rPr>
        <w:t xml:space="preserve">. </w:t>
      </w:r>
      <w:r w:rsidR="00D51104">
        <w:rPr>
          <w:lang w:val="en-GB"/>
        </w:rPr>
        <w:t>The ASW</w:t>
      </w:r>
      <w:r w:rsidR="00091877" w:rsidRPr="00C03FFD">
        <w:rPr>
          <w:lang w:val="en-GB"/>
        </w:rPr>
        <w:t xml:space="preserve"> ranges from -1 to +1 and can be </w:t>
      </w:r>
      <w:r w:rsidR="00091877" w:rsidRPr="00C03FFD">
        <w:rPr>
          <w:lang w:val="en-GB"/>
        </w:rPr>
        <w:lastRenderedPageBreak/>
        <w:t xml:space="preserve">interpreted as the degree of coherence </w:t>
      </w:r>
      <w:r w:rsidR="004A55C3">
        <w:rPr>
          <w:lang w:val="en-GB"/>
        </w:rPr>
        <w:t>among</w:t>
      </w:r>
      <w:r w:rsidR="00091877" w:rsidRPr="00C03FFD">
        <w:rPr>
          <w:lang w:val="en-GB"/>
        </w:rPr>
        <w:t xml:space="preserve"> assignments to clusters: </w:t>
      </w:r>
      <w:r w:rsidR="003B7E6F">
        <w:rPr>
          <w:lang w:val="en-GB"/>
        </w:rPr>
        <w:t xml:space="preserve">a </w:t>
      </w:r>
      <w:r w:rsidR="00091877" w:rsidRPr="00C03FFD">
        <w:rPr>
          <w:lang w:val="en-GB"/>
        </w:rPr>
        <w:t xml:space="preserve">high </w:t>
      </w:r>
      <w:r w:rsidR="003B7E6F">
        <w:rPr>
          <w:lang w:val="en-GB"/>
        </w:rPr>
        <w:t xml:space="preserve">degree of </w:t>
      </w:r>
      <w:r w:rsidR="00091877" w:rsidRPr="00C03FFD">
        <w:rPr>
          <w:lang w:val="en-GB"/>
        </w:rPr>
        <w:t>coherence (close to 1) indicates large between-group distances and strong within-group homogeneity.</w:t>
      </w:r>
    </w:p>
    <w:p w14:paraId="7205776A" w14:textId="103013E0" w:rsidR="00091877" w:rsidRPr="0095713F" w:rsidRDefault="003B7E6F" w:rsidP="004A1AAA">
      <w:pPr>
        <w:spacing w:line="480" w:lineRule="auto"/>
        <w:ind w:firstLine="709"/>
        <w:rPr>
          <w:lang w:val="en-GB"/>
        </w:rPr>
      </w:pPr>
      <w:r>
        <w:rPr>
          <w:lang w:val="en-GB"/>
        </w:rPr>
        <w:t>Upon detecting</w:t>
      </w:r>
      <w:r w:rsidR="00AA4BB4">
        <w:rPr>
          <w:lang w:val="en-GB"/>
        </w:rPr>
        <w:t xml:space="preserve"> different engagement trajectories, w</w:t>
      </w:r>
      <w:r w:rsidR="0095713F">
        <w:rPr>
          <w:lang w:val="en-GB"/>
        </w:rPr>
        <w:t>e examined</w:t>
      </w:r>
      <w:r w:rsidR="00AA4BB4">
        <w:rPr>
          <w:lang w:val="en-GB"/>
        </w:rPr>
        <w:t xml:space="preserve"> </w:t>
      </w:r>
      <w:r>
        <w:rPr>
          <w:lang w:val="en-GB"/>
        </w:rPr>
        <w:t xml:space="preserve">for </w:t>
      </w:r>
      <w:r w:rsidR="0095713F">
        <w:rPr>
          <w:lang w:val="en-GB"/>
        </w:rPr>
        <w:t xml:space="preserve">baseline differences </w:t>
      </w:r>
      <w:r w:rsidR="00294B73">
        <w:rPr>
          <w:lang w:val="en-GB"/>
        </w:rPr>
        <w:t>between the clusters</w:t>
      </w:r>
      <w:r w:rsidR="00AA4BB4">
        <w:rPr>
          <w:lang w:val="en-GB"/>
        </w:rPr>
        <w:t xml:space="preserve">. </w:t>
      </w:r>
      <w:r w:rsidR="00343EB6">
        <w:rPr>
          <w:lang w:val="en-GB"/>
        </w:rPr>
        <w:t>Subsequently, w</w:t>
      </w:r>
      <w:r w:rsidR="00AA4BB4">
        <w:rPr>
          <w:lang w:val="en-GB"/>
        </w:rPr>
        <w:t>e</w:t>
      </w:r>
      <w:r w:rsidR="0095713F">
        <w:rPr>
          <w:lang w:val="en-GB"/>
        </w:rPr>
        <w:t xml:space="preserve"> </w:t>
      </w:r>
      <w:r w:rsidR="00091877" w:rsidRPr="0095713F">
        <w:rPr>
          <w:lang w:val="en-GB"/>
        </w:rPr>
        <w:t xml:space="preserve">conducted </w:t>
      </w:r>
      <w:r w:rsidR="0095713F">
        <w:rPr>
          <w:lang w:val="en-GB"/>
        </w:rPr>
        <w:t>multinomial</w:t>
      </w:r>
      <w:r w:rsidR="00091877" w:rsidRPr="0095713F">
        <w:rPr>
          <w:lang w:val="en-GB"/>
        </w:rPr>
        <w:t xml:space="preserve"> logistic regression analys</w:t>
      </w:r>
      <w:r w:rsidR="004A55C3">
        <w:rPr>
          <w:lang w:val="en-GB"/>
        </w:rPr>
        <w:t>i</w:t>
      </w:r>
      <w:r w:rsidR="00091877" w:rsidRPr="0095713F">
        <w:rPr>
          <w:lang w:val="en-GB"/>
        </w:rPr>
        <w:t xml:space="preserve">s to identify </w:t>
      </w:r>
      <w:r w:rsidR="0095713F">
        <w:rPr>
          <w:lang w:val="en-GB"/>
        </w:rPr>
        <w:t xml:space="preserve">predictors of </w:t>
      </w:r>
      <w:r w:rsidR="00294B73">
        <w:rPr>
          <w:lang w:val="en-GB"/>
        </w:rPr>
        <w:t xml:space="preserve">clusters </w:t>
      </w:r>
      <w:r w:rsidR="00AA4BB4">
        <w:rPr>
          <w:lang w:val="en-GB"/>
        </w:rPr>
        <w:t xml:space="preserve">characterized by </w:t>
      </w:r>
      <w:r w:rsidR="0095713F">
        <w:rPr>
          <w:lang w:val="en-GB"/>
        </w:rPr>
        <w:t xml:space="preserve">lower engagement </w:t>
      </w:r>
      <w:r w:rsidR="00294B73">
        <w:rPr>
          <w:lang w:val="en-GB"/>
        </w:rPr>
        <w:t>trajectories</w:t>
      </w:r>
      <w:r>
        <w:rPr>
          <w:lang w:val="en-GB"/>
        </w:rPr>
        <w:t>,</w:t>
      </w:r>
      <w:r w:rsidR="00294B73">
        <w:rPr>
          <w:lang w:val="en-GB"/>
        </w:rPr>
        <w:t xml:space="preserve"> </w:t>
      </w:r>
      <w:r w:rsidR="0095713F">
        <w:rPr>
          <w:lang w:val="en-GB"/>
        </w:rPr>
        <w:t xml:space="preserve">compared to </w:t>
      </w:r>
      <w:r w:rsidR="00AA4BB4">
        <w:rPr>
          <w:lang w:val="en-GB"/>
        </w:rPr>
        <w:t xml:space="preserve">those with </w:t>
      </w:r>
      <w:r w:rsidR="0095713F">
        <w:rPr>
          <w:lang w:val="en-GB"/>
        </w:rPr>
        <w:t>higher engagement</w:t>
      </w:r>
      <w:r w:rsidR="00294B73">
        <w:rPr>
          <w:lang w:val="en-GB"/>
        </w:rPr>
        <w:t xml:space="preserve"> trajectories</w:t>
      </w:r>
      <w:r w:rsidR="0095713F">
        <w:rPr>
          <w:lang w:val="en-GB"/>
        </w:rPr>
        <w:t xml:space="preserve">. </w:t>
      </w:r>
      <w:r w:rsidR="00DD6626">
        <w:rPr>
          <w:lang w:val="en-GB"/>
        </w:rPr>
        <w:t>Initially, separate univariate multinomial logistic regression analyses were performed (subsequently referred to as univariate analyses) to evaluate potential pre</w:t>
      </w:r>
      <w:r w:rsidR="008A7CA4">
        <w:rPr>
          <w:lang w:val="en-GB"/>
        </w:rPr>
        <w:t>dictors of engagement trajectories</w:t>
      </w:r>
      <w:r w:rsidR="00DD6626">
        <w:rPr>
          <w:lang w:val="en-GB"/>
        </w:rPr>
        <w:t xml:space="preserve">. </w:t>
      </w:r>
      <w:r w:rsidR="00091877" w:rsidRPr="00DD6626">
        <w:rPr>
          <w:lang w:val="en-GB"/>
        </w:rPr>
        <w:t xml:space="preserve">After </w:t>
      </w:r>
      <w:r w:rsidR="00DD6626" w:rsidRPr="00DD6626">
        <w:rPr>
          <w:lang w:val="en-GB"/>
        </w:rPr>
        <w:t>these univariate analyses</w:t>
      </w:r>
      <w:r w:rsidR="00091877" w:rsidRPr="00DD6626">
        <w:rPr>
          <w:lang w:val="en-GB"/>
        </w:rPr>
        <w:t xml:space="preserve">, multivariate prediction models were developed. As suggested by Hosmer, </w:t>
      </w:r>
      <w:proofErr w:type="spellStart"/>
      <w:r w:rsidR="00091877" w:rsidRPr="00DD6626">
        <w:rPr>
          <w:lang w:val="en-GB"/>
        </w:rPr>
        <w:t>Lemeshow</w:t>
      </w:r>
      <w:proofErr w:type="spellEnd"/>
      <w:r w:rsidR="00091877" w:rsidRPr="00DD6626">
        <w:rPr>
          <w:lang w:val="en-GB"/>
        </w:rPr>
        <w:t>, and Sturdivant</w:t>
      </w:r>
      <w:r w:rsidR="00045D24">
        <w:rPr>
          <w:lang w:val="en-GB"/>
        </w:rPr>
        <w:t xml:space="preserve"> </w:t>
      </w:r>
      <w:r w:rsidR="00E91A9D" w:rsidRPr="00E91A9D">
        <w:rPr>
          <w:lang w:val="en-GB"/>
        </w:rPr>
        <w:t>[31]</w:t>
      </w:r>
      <w:r w:rsidR="00091877" w:rsidRPr="00DD6626">
        <w:rPr>
          <w:lang w:val="en-GB"/>
        </w:rPr>
        <w:t>, variable selection consisted of the following steps: (1) Significant predictors (</w:t>
      </w:r>
      <w:r w:rsidR="00091877" w:rsidRPr="007F385A">
        <w:rPr>
          <w:i/>
          <w:lang w:val="en-GB"/>
        </w:rPr>
        <w:t>p</w:t>
      </w:r>
      <w:r w:rsidR="00091877" w:rsidRPr="00DD6626">
        <w:rPr>
          <w:lang w:val="en-GB"/>
        </w:rPr>
        <w:t xml:space="preserve"> &lt; .05) identified during univariate analyses were entered into the preliminary multivariate model. (2) Variables that were non-significant at </w:t>
      </w:r>
      <w:r w:rsidR="00091877" w:rsidRPr="007F385A">
        <w:rPr>
          <w:i/>
          <w:lang w:val="en-GB"/>
        </w:rPr>
        <w:t>p</w:t>
      </w:r>
      <w:r w:rsidR="00091877" w:rsidRPr="00DD6626">
        <w:rPr>
          <w:lang w:val="en-GB"/>
        </w:rPr>
        <w:t xml:space="preserve"> &gt; .05 were removed, one at a time, </w:t>
      </w:r>
      <w:r w:rsidR="007F385A">
        <w:rPr>
          <w:lang w:val="en-GB"/>
        </w:rPr>
        <w:t>starting with</w:t>
      </w:r>
      <w:r w:rsidR="00091877" w:rsidRPr="00DD6626">
        <w:rPr>
          <w:lang w:val="en-GB"/>
        </w:rPr>
        <w:t xml:space="preserve"> those with the highest p-values </w:t>
      </w:r>
      <w:r w:rsidR="00091877" w:rsidRPr="000C15A4">
        <w:rPr>
          <w:lang w:val="en-GB"/>
        </w:rPr>
        <w:t xml:space="preserve">(backward selection). (3) To account for suppressor effects, the resulting model was verified by adding the aforementioned excluded variables, separately, to the regression model. Only variables </w:t>
      </w:r>
      <w:r w:rsidR="007F385A">
        <w:rPr>
          <w:lang w:val="en-GB"/>
        </w:rPr>
        <w:t xml:space="preserve">that were </w:t>
      </w:r>
      <w:r w:rsidR="00091877" w:rsidRPr="000C15A4">
        <w:rPr>
          <w:lang w:val="en-GB"/>
        </w:rPr>
        <w:t xml:space="preserve">significant at </w:t>
      </w:r>
      <w:r w:rsidR="00091877" w:rsidRPr="007F385A">
        <w:rPr>
          <w:i/>
          <w:lang w:val="en-GB"/>
        </w:rPr>
        <w:t>p</w:t>
      </w:r>
      <w:r w:rsidR="00091877" w:rsidRPr="000C15A4">
        <w:rPr>
          <w:lang w:val="en-GB"/>
        </w:rPr>
        <w:t xml:space="preserve"> &lt; .05 were retained in the final </w:t>
      </w:r>
      <w:r w:rsidR="00DD6626" w:rsidRPr="000C15A4">
        <w:rPr>
          <w:lang w:val="en-GB"/>
        </w:rPr>
        <w:t xml:space="preserve">multinomial </w:t>
      </w:r>
      <w:r w:rsidR="00091877" w:rsidRPr="000C15A4">
        <w:rPr>
          <w:lang w:val="en-GB"/>
        </w:rPr>
        <w:t>regression model (forward selection).</w:t>
      </w:r>
    </w:p>
    <w:p w14:paraId="11C89560" w14:textId="290D23D1" w:rsidR="00091877" w:rsidRPr="000C15A4" w:rsidRDefault="00091877" w:rsidP="004A1AAA">
      <w:pPr>
        <w:spacing w:line="480" w:lineRule="auto"/>
        <w:ind w:firstLine="426"/>
        <w:rPr>
          <w:lang w:val="en-GB"/>
        </w:rPr>
      </w:pPr>
      <w:r w:rsidRPr="000C15A4">
        <w:rPr>
          <w:lang w:val="en-GB"/>
        </w:rPr>
        <w:t xml:space="preserve">Finally, we compared </w:t>
      </w:r>
      <w:r w:rsidR="00B1014C" w:rsidRPr="000C15A4">
        <w:rPr>
          <w:lang w:val="en-GB"/>
        </w:rPr>
        <w:t>smoking</w:t>
      </w:r>
      <w:r w:rsidRPr="000C15A4">
        <w:rPr>
          <w:lang w:val="en-GB"/>
        </w:rPr>
        <w:t xml:space="preserve"> outcomes between </w:t>
      </w:r>
      <w:r w:rsidR="00B1014C" w:rsidRPr="000C15A4">
        <w:rPr>
          <w:lang w:val="en-GB"/>
        </w:rPr>
        <w:t>participants</w:t>
      </w:r>
      <w:r w:rsidRPr="000C15A4">
        <w:rPr>
          <w:lang w:val="en-GB"/>
        </w:rPr>
        <w:t xml:space="preserve"> </w:t>
      </w:r>
      <w:r w:rsidR="00985284">
        <w:rPr>
          <w:lang w:val="en-GB"/>
        </w:rPr>
        <w:t xml:space="preserve">grouped </w:t>
      </w:r>
      <w:r w:rsidRPr="000C15A4">
        <w:rPr>
          <w:lang w:val="en-GB"/>
        </w:rPr>
        <w:t xml:space="preserve">by </w:t>
      </w:r>
      <w:r w:rsidR="00985284">
        <w:rPr>
          <w:lang w:val="en-GB"/>
        </w:rPr>
        <w:t xml:space="preserve">their </w:t>
      </w:r>
      <w:r w:rsidR="00B1014C" w:rsidRPr="000C15A4">
        <w:rPr>
          <w:lang w:val="en-GB"/>
        </w:rPr>
        <w:t>engagement</w:t>
      </w:r>
      <w:r w:rsidRPr="000C15A4">
        <w:rPr>
          <w:lang w:val="en-GB"/>
        </w:rPr>
        <w:t xml:space="preserve"> trajectory. </w:t>
      </w:r>
      <w:r w:rsidR="008A7CA4" w:rsidRPr="000C15A4">
        <w:rPr>
          <w:lang w:val="en-GB"/>
        </w:rPr>
        <w:t>S</w:t>
      </w:r>
      <w:r w:rsidR="007F06CB" w:rsidRPr="00B666B3">
        <w:rPr>
          <w:lang w:val="en-GB"/>
        </w:rPr>
        <w:t>ince participants were nested in school classes</w:t>
      </w:r>
      <w:r w:rsidR="00985284">
        <w:rPr>
          <w:lang w:val="en-GB"/>
        </w:rPr>
        <w:t xml:space="preserve">, </w:t>
      </w:r>
      <w:r w:rsidR="007F06CB" w:rsidRPr="00B666B3">
        <w:rPr>
          <w:lang w:val="en-GB"/>
        </w:rPr>
        <w:t xml:space="preserve">we conducted a generalized linear mixed model (GLMM) </w:t>
      </w:r>
      <w:r w:rsidR="00985284" w:rsidRPr="00B666B3">
        <w:rPr>
          <w:lang w:val="en-GB"/>
        </w:rPr>
        <w:t xml:space="preserve">for </w:t>
      </w:r>
      <w:r w:rsidR="003B7E6F">
        <w:rPr>
          <w:lang w:val="en-GB"/>
        </w:rPr>
        <w:t xml:space="preserve">the </w:t>
      </w:r>
      <w:r w:rsidR="00985284" w:rsidRPr="00B666B3">
        <w:rPr>
          <w:lang w:val="en-GB"/>
        </w:rPr>
        <w:t>7-day</w:t>
      </w:r>
      <w:r w:rsidR="00985284">
        <w:rPr>
          <w:lang w:val="en-GB"/>
        </w:rPr>
        <w:t xml:space="preserve"> point prevalence </w:t>
      </w:r>
      <w:r w:rsidR="003B7E6F">
        <w:rPr>
          <w:lang w:val="en-GB"/>
        </w:rPr>
        <w:t xml:space="preserve">of </w:t>
      </w:r>
      <w:r w:rsidR="00985284">
        <w:rPr>
          <w:lang w:val="en-GB"/>
        </w:rPr>
        <w:t>abstinence. F</w:t>
      </w:r>
      <w:r w:rsidR="007F06CB" w:rsidRPr="00B666B3">
        <w:rPr>
          <w:lang w:val="en-GB"/>
        </w:rPr>
        <w:t xml:space="preserve">or changes in consumed cigarettes per day, we conducted a linear mixed model (LMM). </w:t>
      </w:r>
      <w:r w:rsidR="005A028D">
        <w:rPr>
          <w:lang w:val="en-GB"/>
        </w:rPr>
        <w:t>E</w:t>
      </w:r>
      <w:r w:rsidR="007F06CB">
        <w:rPr>
          <w:lang w:val="en-GB"/>
        </w:rPr>
        <w:t>ngagement trajectory</w:t>
      </w:r>
      <w:r w:rsidR="005A028D">
        <w:rPr>
          <w:lang w:val="en-GB"/>
        </w:rPr>
        <w:t xml:space="preserve"> was included as </w:t>
      </w:r>
      <w:r w:rsidR="003B7E6F">
        <w:rPr>
          <w:lang w:val="en-GB"/>
        </w:rPr>
        <w:t xml:space="preserve">an </w:t>
      </w:r>
      <w:r w:rsidR="005A028D">
        <w:rPr>
          <w:lang w:val="en-GB"/>
        </w:rPr>
        <w:t>independent variable (fixed effect)</w:t>
      </w:r>
      <w:r w:rsidR="008A7CA4">
        <w:rPr>
          <w:lang w:val="en-GB"/>
        </w:rPr>
        <w:t xml:space="preserve">, </w:t>
      </w:r>
      <w:r w:rsidR="007F06CB" w:rsidRPr="002840A4">
        <w:rPr>
          <w:lang w:val="en-GB"/>
        </w:rPr>
        <w:t xml:space="preserve">and </w:t>
      </w:r>
      <w:r w:rsidR="005A028D">
        <w:rPr>
          <w:lang w:val="en-GB"/>
        </w:rPr>
        <w:t xml:space="preserve">school </w:t>
      </w:r>
      <w:r w:rsidR="007F06CB" w:rsidRPr="002840A4">
        <w:rPr>
          <w:lang w:val="en-GB"/>
        </w:rPr>
        <w:t>class as a single random effect (random intercept).</w:t>
      </w:r>
      <w:r w:rsidR="00B666B3">
        <w:rPr>
          <w:lang w:val="en-GB"/>
        </w:rPr>
        <w:t xml:space="preserve"> </w:t>
      </w:r>
      <w:r w:rsidR="003B7E6F">
        <w:rPr>
          <w:lang w:val="en-GB"/>
        </w:rPr>
        <w:t xml:space="preserve">These </w:t>
      </w:r>
      <w:r w:rsidR="00B666B3">
        <w:rPr>
          <w:lang w:val="en-GB"/>
        </w:rPr>
        <w:t xml:space="preserve">analyses </w:t>
      </w:r>
      <w:r w:rsidR="003B7E6F">
        <w:rPr>
          <w:lang w:val="en-GB"/>
        </w:rPr>
        <w:t xml:space="preserve">were conducted </w:t>
      </w:r>
      <w:r w:rsidR="00D64E14">
        <w:rPr>
          <w:lang w:val="en-GB"/>
        </w:rPr>
        <w:t xml:space="preserve">using the lme4 library (version 3.2.1) in R </w:t>
      </w:r>
      <w:r w:rsidR="00E91A9D" w:rsidRPr="00E91A9D">
        <w:rPr>
          <w:lang w:val="en-GB"/>
        </w:rPr>
        <w:t>[32]</w:t>
      </w:r>
      <w:r w:rsidR="00D64E14">
        <w:rPr>
          <w:lang w:val="en-GB"/>
        </w:rPr>
        <w:t xml:space="preserve"> </w:t>
      </w:r>
      <w:r w:rsidR="00045D24">
        <w:rPr>
          <w:lang w:val="en-GB"/>
        </w:rPr>
        <w:t>on</w:t>
      </w:r>
      <w:r w:rsidR="00025BBB">
        <w:rPr>
          <w:lang w:val="en-GB"/>
        </w:rPr>
        <w:t xml:space="preserve"> three statistical models due to the disparate reach of more engaged than less engaged participants at follow-up:</w:t>
      </w:r>
      <w:r w:rsidR="00045D24">
        <w:rPr>
          <w:lang w:val="en-GB"/>
        </w:rPr>
        <w:t xml:space="preserve"> </w:t>
      </w:r>
      <w:r w:rsidR="00D64E14">
        <w:rPr>
          <w:lang w:val="en-GB"/>
        </w:rPr>
        <w:t>(1)</w:t>
      </w:r>
      <w:r w:rsidR="00B666B3">
        <w:rPr>
          <w:lang w:val="en-GB"/>
        </w:rPr>
        <w:t xml:space="preserve"> a </w:t>
      </w:r>
      <w:r w:rsidR="005318E4">
        <w:rPr>
          <w:lang w:val="en-GB"/>
        </w:rPr>
        <w:t>complete-case</w:t>
      </w:r>
      <w:r w:rsidR="00B666B3">
        <w:rPr>
          <w:lang w:val="en-GB"/>
        </w:rPr>
        <w:t xml:space="preserve"> dataset (</w:t>
      </w:r>
      <w:r w:rsidR="005318E4">
        <w:rPr>
          <w:lang w:val="en-GB"/>
        </w:rPr>
        <w:t>CCA</w:t>
      </w:r>
      <w:r w:rsidR="00B666B3">
        <w:rPr>
          <w:lang w:val="en-GB"/>
        </w:rPr>
        <w:t>)</w:t>
      </w:r>
      <w:r w:rsidR="00D64E14">
        <w:rPr>
          <w:lang w:val="en-GB"/>
        </w:rPr>
        <w:t>,</w:t>
      </w:r>
      <w:r w:rsidR="00B666B3">
        <w:rPr>
          <w:lang w:val="en-GB"/>
        </w:rPr>
        <w:t xml:space="preserve"> </w:t>
      </w:r>
      <w:r w:rsidR="00156DB4">
        <w:rPr>
          <w:lang w:val="en-GB"/>
        </w:rPr>
        <w:lastRenderedPageBreak/>
        <w:t xml:space="preserve">(2) a last-observation-carried-forward (LOCF) dataset, </w:t>
      </w:r>
      <w:r w:rsidR="00B666B3">
        <w:rPr>
          <w:lang w:val="en-GB"/>
        </w:rPr>
        <w:t xml:space="preserve">and </w:t>
      </w:r>
      <w:r w:rsidR="00D64E14">
        <w:rPr>
          <w:lang w:val="en-GB"/>
        </w:rPr>
        <w:t>(</w:t>
      </w:r>
      <w:r w:rsidR="00156DB4">
        <w:rPr>
          <w:lang w:val="en-GB"/>
        </w:rPr>
        <w:t>3</w:t>
      </w:r>
      <w:r w:rsidR="00D64E14">
        <w:rPr>
          <w:lang w:val="en-GB"/>
        </w:rPr>
        <w:t>)</w:t>
      </w:r>
      <w:r w:rsidR="00B666B3">
        <w:rPr>
          <w:lang w:val="en-GB"/>
        </w:rPr>
        <w:t xml:space="preserve"> a</w:t>
      </w:r>
      <w:r w:rsidR="00D64E14">
        <w:rPr>
          <w:lang w:val="en-GB"/>
        </w:rPr>
        <w:t>n</w:t>
      </w:r>
      <w:r w:rsidR="00B666B3">
        <w:rPr>
          <w:lang w:val="en-GB"/>
        </w:rPr>
        <w:t xml:space="preserve"> intention-to-treat dataset (ITT). </w:t>
      </w:r>
      <w:r w:rsidR="00B666B3" w:rsidRPr="00FC29FC">
        <w:rPr>
          <w:lang w:val="en-GB"/>
        </w:rPr>
        <w:t xml:space="preserve">Details of outcome analysis and missing data imputation procedures are provided in </w:t>
      </w:r>
      <w:proofErr w:type="spellStart"/>
      <w:r w:rsidR="00B666B3" w:rsidRPr="00FC29FC">
        <w:rPr>
          <w:lang w:val="en-GB"/>
        </w:rPr>
        <w:t>Haug</w:t>
      </w:r>
      <w:proofErr w:type="spellEnd"/>
      <w:r w:rsidR="00B666B3" w:rsidRPr="00FC29FC">
        <w:rPr>
          <w:lang w:val="en-GB"/>
        </w:rPr>
        <w:t xml:space="preserve"> et al</w:t>
      </w:r>
      <w:r w:rsidR="000F68E0">
        <w:rPr>
          <w:lang w:val="en-GB"/>
        </w:rPr>
        <w:t xml:space="preserve"> </w:t>
      </w:r>
      <w:r w:rsidR="00BA2D5A" w:rsidRPr="00BA2D5A">
        <w:rPr>
          <w:lang w:val="en-GB"/>
        </w:rPr>
        <w:t>[9]</w:t>
      </w:r>
      <w:r w:rsidR="00B666B3">
        <w:rPr>
          <w:lang w:val="en-GB"/>
        </w:rPr>
        <w:t>.</w:t>
      </w:r>
      <w:r w:rsidR="00740739">
        <w:rPr>
          <w:lang w:val="en-GB"/>
        </w:rPr>
        <w:t xml:space="preserve"> </w:t>
      </w:r>
      <w:r w:rsidRPr="000C15A4">
        <w:rPr>
          <w:lang w:val="en-GB"/>
        </w:rPr>
        <w:t xml:space="preserve">R </w:t>
      </w:r>
      <w:r w:rsidR="00BC54F6">
        <w:rPr>
          <w:lang w:val="en-GB"/>
        </w:rPr>
        <w:t xml:space="preserve">version 3.3.3 </w:t>
      </w:r>
      <w:r w:rsidRPr="000C15A4">
        <w:rPr>
          <w:lang w:val="en-GB"/>
        </w:rPr>
        <w:t>was used to perform all sequence analyses</w:t>
      </w:r>
      <w:r w:rsidR="00D64E14" w:rsidRPr="000C15A4">
        <w:rPr>
          <w:lang w:val="en-GB"/>
        </w:rPr>
        <w:t xml:space="preserve"> and outcome analyses</w:t>
      </w:r>
      <w:r w:rsidRPr="000C15A4">
        <w:rPr>
          <w:lang w:val="en-GB"/>
        </w:rPr>
        <w:t xml:space="preserve">, while SPSS version 22 was used for all other analyses. All statistical tests were two-tailed, with </w:t>
      </w:r>
      <w:r w:rsidRPr="000C15A4">
        <w:rPr>
          <w:i/>
          <w:lang w:val="en-GB"/>
        </w:rPr>
        <w:t xml:space="preserve">p </w:t>
      </w:r>
      <w:r w:rsidRPr="000C15A4">
        <w:rPr>
          <w:lang w:val="en-GB"/>
        </w:rPr>
        <w:t>&lt; .05 set as the criterion for statistical significance.</w:t>
      </w:r>
    </w:p>
    <w:p w14:paraId="57172F08" w14:textId="77777777" w:rsidR="00E45A7F" w:rsidRDefault="00E45A7F" w:rsidP="00475AE7">
      <w:pPr>
        <w:spacing w:line="480" w:lineRule="auto"/>
        <w:rPr>
          <w:lang w:val="en-GB"/>
        </w:rPr>
      </w:pPr>
    </w:p>
    <w:p w14:paraId="2F7437B9" w14:textId="77777777" w:rsidR="00475AE7" w:rsidRPr="009E361E" w:rsidRDefault="00475AE7" w:rsidP="00475AE7">
      <w:pPr>
        <w:pStyle w:val="Listenabsatz"/>
        <w:numPr>
          <w:ilvl w:val="0"/>
          <w:numId w:val="32"/>
        </w:numPr>
        <w:spacing w:line="480" w:lineRule="auto"/>
        <w:rPr>
          <w:lang w:val="en-GB"/>
        </w:rPr>
      </w:pPr>
      <w:r w:rsidRPr="009E361E">
        <w:rPr>
          <w:lang w:val="en-GB"/>
        </w:rPr>
        <w:t>Results</w:t>
      </w:r>
    </w:p>
    <w:p w14:paraId="188A8AAD" w14:textId="77777777" w:rsidR="00475AE7" w:rsidRPr="008A7CA4" w:rsidRDefault="00475AE7" w:rsidP="00475AE7">
      <w:pPr>
        <w:spacing w:line="480" w:lineRule="auto"/>
        <w:rPr>
          <w:i/>
          <w:lang w:val="en-GB"/>
        </w:rPr>
      </w:pPr>
      <w:r w:rsidRPr="008A7CA4">
        <w:rPr>
          <w:i/>
          <w:lang w:val="en-GB"/>
        </w:rPr>
        <w:t>3.1 Participants</w:t>
      </w:r>
    </w:p>
    <w:p w14:paraId="15F6D9DB" w14:textId="7ECCEE0A" w:rsidR="008A7CA4" w:rsidRPr="002E5348" w:rsidRDefault="00B13B07" w:rsidP="00475AE7">
      <w:pPr>
        <w:spacing w:line="480" w:lineRule="auto"/>
        <w:rPr>
          <w:lang w:val="en-GB"/>
        </w:rPr>
      </w:pPr>
      <w:r>
        <w:rPr>
          <w:lang w:val="en-GB"/>
        </w:rPr>
        <w:t xml:space="preserve">Of the original 1471 study participants, </w:t>
      </w:r>
      <w:r w:rsidRPr="008A7CA4">
        <w:rPr>
          <w:lang w:val="en-GB"/>
        </w:rPr>
        <w:t>1418 (96.4%)</w:t>
      </w:r>
      <w:r>
        <w:rPr>
          <w:lang w:val="en-GB"/>
        </w:rPr>
        <w:t xml:space="preserve"> c</w:t>
      </w:r>
      <w:r w:rsidR="008A7CA4">
        <w:rPr>
          <w:lang w:val="en-GB"/>
        </w:rPr>
        <w:t>omplete</w:t>
      </w:r>
      <w:r>
        <w:rPr>
          <w:lang w:val="en-GB"/>
        </w:rPr>
        <w:t>d</w:t>
      </w:r>
      <w:r w:rsidR="00E9673D">
        <w:rPr>
          <w:lang w:val="en-GB"/>
        </w:rPr>
        <w:t xml:space="preserve"> the program</w:t>
      </w:r>
      <w:r w:rsidR="008A7CA4" w:rsidRPr="008A7CA4">
        <w:rPr>
          <w:lang w:val="en-GB"/>
        </w:rPr>
        <w:t>.</w:t>
      </w:r>
      <w:r w:rsidR="008A7CA4">
        <w:rPr>
          <w:lang w:val="en-GB"/>
        </w:rPr>
        <w:t xml:space="preserve"> </w:t>
      </w:r>
      <w:r>
        <w:rPr>
          <w:lang w:val="en-GB"/>
        </w:rPr>
        <w:t xml:space="preserve">Those who failed to complete their intervention </w:t>
      </w:r>
      <w:r w:rsidR="002D4AA8">
        <w:rPr>
          <w:lang w:val="en-GB"/>
        </w:rPr>
        <w:t>had either signed off (n= 31, 2.1%</w:t>
      </w:r>
      <w:r w:rsidR="008A7CA4" w:rsidRPr="008A7CA4">
        <w:rPr>
          <w:lang w:val="en-GB"/>
        </w:rPr>
        <w:t xml:space="preserve">) or discontinued </w:t>
      </w:r>
      <w:r>
        <w:rPr>
          <w:lang w:val="en-GB"/>
        </w:rPr>
        <w:t xml:space="preserve">the </w:t>
      </w:r>
      <w:r w:rsidR="008A7CA4" w:rsidRPr="008A7CA4">
        <w:rPr>
          <w:lang w:val="en-GB"/>
        </w:rPr>
        <w:t>intervention</w:t>
      </w:r>
      <w:r w:rsidR="002D4AA8">
        <w:rPr>
          <w:lang w:val="en-GB"/>
        </w:rPr>
        <w:t xml:space="preserve"> due to technical problems (n= 22, 1.5%</w:t>
      </w:r>
      <w:r w:rsidR="008A7CA4" w:rsidRPr="008A7CA4">
        <w:rPr>
          <w:lang w:val="en-GB"/>
        </w:rPr>
        <w:t xml:space="preserve">). </w:t>
      </w:r>
      <w:r w:rsidR="002D4AA8">
        <w:rPr>
          <w:lang w:val="en-GB"/>
        </w:rPr>
        <w:t>No</w:t>
      </w:r>
      <w:r w:rsidR="008A7CA4" w:rsidRPr="008A7CA4">
        <w:rPr>
          <w:lang w:val="en-GB"/>
        </w:rPr>
        <w:t xml:space="preserve"> significant </w:t>
      </w:r>
      <w:r w:rsidR="002D4AA8">
        <w:rPr>
          <w:lang w:val="en-GB"/>
        </w:rPr>
        <w:t xml:space="preserve">baseline </w:t>
      </w:r>
      <w:r w:rsidR="008A7CA4" w:rsidRPr="008A7CA4">
        <w:rPr>
          <w:lang w:val="en-GB"/>
        </w:rPr>
        <w:t xml:space="preserve">differences </w:t>
      </w:r>
      <w:r w:rsidR="002D4AA8">
        <w:rPr>
          <w:lang w:val="en-GB"/>
        </w:rPr>
        <w:t xml:space="preserve">were observed </w:t>
      </w:r>
      <w:r w:rsidR="008A7CA4" w:rsidRPr="008A7CA4">
        <w:rPr>
          <w:lang w:val="en-GB"/>
        </w:rPr>
        <w:t xml:space="preserve">between </w:t>
      </w:r>
      <w:r>
        <w:rPr>
          <w:lang w:val="en-GB"/>
        </w:rPr>
        <w:t>those who did and did not complete the intervention.</w:t>
      </w:r>
      <w:r w:rsidR="00B53176">
        <w:rPr>
          <w:lang w:val="en-GB"/>
        </w:rPr>
        <w:t xml:space="preserve"> </w:t>
      </w:r>
      <w:r w:rsidR="00AB2E47">
        <w:rPr>
          <w:lang w:val="en-GB"/>
        </w:rPr>
        <w:t>Program attrition</w:t>
      </w:r>
      <w:r w:rsidR="00B53176">
        <w:rPr>
          <w:lang w:val="en-GB"/>
        </w:rPr>
        <w:t xml:space="preserve"> also </w:t>
      </w:r>
      <w:r>
        <w:rPr>
          <w:lang w:val="en-GB"/>
        </w:rPr>
        <w:t xml:space="preserve">did </w:t>
      </w:r>
      <w:r w:rsidR="00B53176">
        <w:rPr>
          <w:lang w:val="en-GB"/>
        </w:rPr>
        <w:t xml:space="preserve">not differ between </w:t>
      </w:r>
      <w:r>
        <w:rPr>
          <w:lang w:val="en-GB"/>
        </w:rPr>
        <w:t>the two treatment arms</w:t>
      </w:r>
      <w:r w:rsidR="00B53176" w:rsidRPr="00822D33">
        <w:rPr>
          <w:lang w:val="en-GB"/>
        </w:rPr>
        <w:t>,</w:t>
      </w:r>
      <w:r w:rsidR="00B53176">
        <w:rPr>
          <w:lang w:val="en-GB"/>
        </w:rPr>
        <w:t xml:space="preserve"> with</w:t>
      </w:r>
      <w:r w:rsidR="00B53176" w:rsidRPr="00822D33">
        <w:rPr>
          <w:lang w:val="en-GB"/>
        </w:rPr>
        <w:t xml:space="preserve"> </w:t>
      </w:r>
      <w:r w:rsidR="00B53176">
        <w:rPr>
          <w:lang w:val="en-GB"/>
        </w:rPr>
        <w:t>13</w:t>
      </w:r>
      <w:r w:rsidR="00B53176" w:rsidRPr="00822D33">
        <w:rPr>
          <w:lang w:val="en-GB"/>
        </w:rPr>
        <w:t xml:space="preserve"> of the </w:t>
      </w:r>
      <w:r w:rsidR="00643B3C">
        <w:rPr>
          <w:lang w:val="en-GB"/>
        </w:rPr>
        <w:t>74</w:t>
      </w:r>
      <w:r w:rsidR="00B53176">
        <w:rPr>
          <w:lang w:val="en-GB"/>
        </w:rPr>
        <w:t>1</w:t>
      </w:r>
      <w:r w:rsidR="00B53176" w:rsidRPr="00822D33">
        <w:rPr>
          <w:lang w:val="en-GB"/>
        </w:rPr>
        <w:t xml:space="preserve"> (</w:t>
      </w:r>
      <w:r w:rsidR="00B53176">
        <w:rPr>
          <w:lang w:val="en-GB"/>
        </w:rPr>
        <w:t>1.8</w:t>
      </w:r>
      <w:r w:rsidR="00B53176" w:rsidRPr="00822D33">
        <w:rPr>
          <w:lang w:val="en-GB"/>
        </w:rPr>
        <w:t xml:space="preserve">%) participants </w:t>
      </w:r>
      <w:r w:rsidR="00B53176">
        <w:rPr>
          <w:lang w:val="en-GB"/>
        </w:rPr>
        <w:t xml:space="preserve">in the </w:t>
      </w:r>
      <w:r w:rsidR="00E9673D" w:rsidRPr="00E9673D">
        <w:rPr>
          <w:i/>
          <w:lang w:val="en-GB"/>
        </w:rPr>
        <w:t>MCT</w:t>
      </w:r>
      <w:r w:rsidR="00B53176">
        <w:rPr>
          <w:lang w:val="en-GB"/>
        </w:rPr>
        <w:t xml:space="preserve"> </w:t>
      </w:r>
      <w:r w:rsidR="00DD5E90">
        <w:rPr>
          <w:lang w:val="en-GB"/>
        </w:rPr>
        <w:t xml:space="preserve">choosing to </w:t>
      </w:r>
      <w:r w:rsidR="00AB2E47">
        <w:rPr>
          <w:lang w:val="en-GB"/>
        </w:rPr>
        <w:t>unsubscribe</w:t>
      </w:r>
      <w:r w:rsidR="00B53176">
        <w:rPr>
          <w:lang w:val="en-GB"/>
        </w:rPr>
        <w:t xml:space="preserve"> compared to 18 of the 730 (2.5%) </w:t>
      </w:r>
      <w:r>
        <w:rPr>
          <w:lang w:val="en-GB"/>
        </w:rPr>
        <w:t xml:space="preserve">assigned to </w:t>
      </w:r>
      <w:r w:rsidR="00B53176">
        <w:rPr>
          <w:lang w:val="en-GB"/>
        </w:rPr>
        <w:t xml:space="preserve">the </w:t>
      </w:r>
      <w:r w:rsidR="00E9673D" w:rsidRPr="00E9673D">
        <w:rPr>
          <w:i/>
          <w:lang w:val="en-GB"/>
        </w:rPr>
        <w:t>MCT+</w:t>
      </w:r>
      <w:r w:rsidR="00B53176">
        <w:rPr>
          <w:lang w:val="en-GB"/>
        </w:rPr>
        <w:t xml:space="preserve"> </w:t>
      </w:r>
      <w:r w:rsidR="00B53176" w:rsidRPr="002840A4">
        <w:rPr>
          <w:lang w:val="en-GB"/>
        </w:rPr>
        <w:t>(</w:t>
      </w:r>
      <w:r w:rsidR="00B53176" w:rsidRPr="002840A4">
        <w:rPr>
          <w:i/>
          <w:lang w:val="en-GB"/>
        </w:rPr>
        <w:t>χ</w:t>
      </w:r>
      <w:r w:rsidR="00B53176" w:rsidRPr="002840A4">
        <w:rPr>
          <w:vertAlign w:val="superscript"/>
          <w:lang w:val="en-GB"/>
        </w:rPr>
        <w:t xml:space="preserve">2 </w:t>
      </w:r>
      <w:r w:rsidR="00B53176" w:rsidRPr="002840A4">
        <w:rPr>
          <w:lang w:val="en-GB"/>
        </w:rPr>
        <w:t xml:space="preserve">= </w:t>
      </w:r>
      <w:r w:rsidR="00B53176">
        <w:rPr>
          <w:lang w:val="en-GB"/>
        </w:rPr>
        <w:t>0.90</w:t>
      </w:r>
      <w:r w:rsidR="00B53176" w:rsidRPr="002840A4">
        <w:rPr>
          <w:lang w:val="en-GB"/>
        </w:rPr>
        <w:t xml:space="preserve">, </w:t>
      </w:r>
      <w:r w:rsidR="005A39C0">
        <w:rPr>
          <w:i/>
          <w:lang w:val="en-GB"/>
        </w:rPr>
        <w:t>P</w:t>
      </w:r>
      <w:r w:rsidR="00B53176">
        <w:rPr>
          <w:i/>
          <w:lang w:val="en-GB"/>
        </w:rPr>
        <w:t xml:space="preserve">= </w:t>
      </w:r>
      <w:r w:rsidR="00B53176">
        <w:rPr>
          <w:lang w:val="en-GB"/>
        </w:rPr>
        <w:t>.34</w:t>
      </w:r>
      <w:r w:rsidR="00B53176" w:rsidRPr="002840A4">
        <w:rPr>
          <w:lang w:val="en-GB"/>
        </w:rPr>
        <w:t>).</w:t>
      </w:r>
      <w:r w:rsidR="00B53176">
        <w:rPr>
          <w:lang w:val="en-GB"/>
        </w:rPr>
        <w:t xml:space="preserve"> </w:t>
      </w:r>
      <w:r w:rsidR="0005770C">
        <w:rPr>
          <w:lang w:val="en-GB"/>
        </w:rPr>
        <w:t>Of the 1418 p</w:t>
      </w:r>
      <w:r w:rsidR="00B53176">
        <w:rPr>
          <w:lang w:val="en-GB"/>
        </w:rPr>
        <w:t>articipants analysed for this study</w:t>
      </w:r>
      <w:r w:rsidR="0005770C">
        <w:rPr>
          <w:lang w:val="en-GB"/>
        </w:rPr>
        <w:t>, 863 (60.9%) were female</w:t>
      </w:r>
      <w:r>
        <w:rPr>
          <w:lang w:val="en-GB"/>
        </w:rPr>
        <w:t xml:space="preserve">. The </w:t>
      </w:r>
      <w:r w:rsidR="0005770C">
        <w:rPr>
          <w:lang w:val="en-GB"/>
        </w:rPr>
        <w:t xml:space="preserve">reported mean age </w:t>
      </w:r>
      <w:r>
        <w:rPr>
          <w:lang w:val="en-GB"/>
        </w:rPr>
        <w:t xml:space="preserve">was </w:t>
      </w:r>
      <w:r w:rsidR="0005770C">
        <w:rPr>
          <w:lang w:val="en-GB"/>
        </w:rPr>
        <w:t>18.6 (</w:t>
      </w:r>
      <w:r w:rsidR="0005770C" w:rsidRPr="0005770C">
        <w:rPr>
          <w:i/>
          <w:lang w:val="en-GB"/>
        </w:rPr>
        <w:t>SD</w:t>
      </w:r>
      <w:r w:rsidR="0005770C">
        <w:rPr>
          <w:lang w:val="en-GB"/>
        </w:rPr>
        <w:t xml:space="preserve"> = 3.1). More than half (n= 740, 52.2%) reported </w:t>
      </w:r>
      <w:proofErr w:type="gramStart"/>
      <w:r>
        <w:rPr>
          <w:lang w:val="en-GB"/>
        </w:rPr>
        <w:t xml:space="preserve">either </w:t>
      </w:r>
      <w:r w:rsidR="002E5348">
        <w:rPr>
          <w:lang w:val="en-GB"/>
        </w:rPr>
        <w:t>a one-sided or two-sided immigra</w:t>
      </w:r>
      <w:r w:rsidR="00DD5E90">
        <w:rPr>
          <w:lang w:val="en-GB"/>
        </w:rPr>
        <w:t>nt</w:t>
      </w:r>
      <w:r w:rsidR="002E5348">
        <w:rPr>
          <w:lang w:val="en-GB"/>
        </w:rPr>
        <w:t xml:space="preserve"> background, and</w:t>
      </w:r>
      <w:proofErr w:type="gramEnd"/>
      <w:r w:rsidR="002E5348">
        <w:rPr>
          <w:lang w:val="en-GB"/>
        </w:rPr>
        <w:t xml:space="preserve"> almost all (n= 1180, 83.2%) had reached </w:t>
      </w:r>
      <w:r>
        <w:rPr>
          <w:lang w:val="en-GB"/>
        </w:rPr>
        <w:t xml:space="preserve">at least </w:t>
      </w:r>
      <w:r w:rsidR="002E5348">
        <w:rPr>
          <w:lang w:val="en-GB"/>
        </w:rPr>
        <w:t>the lowest education</w:t>
      </w:r>
      <w:r w:rsidR="00DD5E90">
        <w:rPr>
          <w:lang w:val="en-GB"/>
        </w:rPr>
        <w:t>al degree</w:t>
      </w:r>
      <w:r w:rsidR="002E5348">
        <w:rPr>
          <w:lang w:val="en-GB"/>
        </w:rPr>
        <w:t xml:space="preserve"> (i.e.</w:t>
      </w:r>
      <w:r>
        <w:rPr>
          <w:lang w:val="en-GB"/>
        </w:rPr>
        <w:t>,</w:t>
      </w:r>
      <w:r w:rsidR="002E5348">
        <w:rPr>
          <w:lang w:val="en-GB"/>
        </w:rPr>
        <w:t xml:space="preserve"> secondary school) (Tab. 1). </w:t>
      </w:r>
      <w:r w:rsidR="00643B3C">
        <w:rPr>
          <w:lang w:val="en-GB"/>
        </w:rPr>
        <w:t xml:space="preserve">Two-thirds of the sample (1083/1418, 76.4%) took part on the follow-up assessment; 538 of the 730 (72.6%) participants assigned to the </w:t>
      </w:r>
      <w:r w:rsidR="00643B3C" w:rsidRPr="00D05234">
        <w:rPr>
          <w:i/>
          <w:lang w:val="en-GB"/>
        </w:rPr>
        <w:t>MCT</w:t>
      </w:r>
      <w:r w:rsidR="00643B3C">
        <w:rPr>
          <w:lang w:val="en-GB"/>
        </w:rPr>
        <w:t xml:space="preserve">, and 545 of the 730 (74.7%) assigned to the MCT+. </w:t>
      </w:r>
    </w:p>
    <w:p w14:paraId="3A105337" w14:textId="77777777" w:rsidR="00475AE7" w:rsidRPr="002840A4" w:rsidRDefault="00475AE7" w:rsidP="00475AE7">
      <w:pPr>
        <w:spacing w:line="480" w:lineRule="auto"/>
        <w:rPr>
          <w:lang w:val="en-GB"/>
        </w:rPr>
      </w:pPr>
    </w:p>
    <w:p w14:paraId="1F5548B6" w14:textId="77777777" w:rsidR="00475AE7" w:rsidRDefault="00475AE7" w:rsidP="00475AE7">
      <w:pPr>
        <w:spacing w:line="480" w:lineRule="auto"/>
        <w:rPr>
          <w:i/>
          <w:lang w:val="en-GB"/>
        </w:rPr>
      </w:pPr>
      <w:r>
        <w:rPr>
          <w:i/>
          <w:lang w:val="en-GB"/>
        </w:rPr>
        <w:t xml:space="preserve">3.2 </w:t>
      </w:r>
      <w:r w:rsidR="00D421DF">
        <w:rPr>
          <w:i/>
          <w:lang w:val="en-GB"/>
        </w:rPr>
        <w:t>Use of different program features</w:t>
      </w:r>
    </w:p>
    <w:p w14:paraId="25D33EE4" w14:textId="3CFBBFA5" w:rsidR="00983211" w:rsidRDefault="00A73207" w:rsidP="00A73207">
      <w:pPr>
        <w:spacing w:line="480" w:lineRule="auto"/>
        <w:rPr>
          <w:lang w:val="en-GB"/>
        </w:rPr>
      </w:pPr>
      <w:r w:rsidRPr="00A73207">
        <w:rPr>
          <w:lang w:val="en-GB"/>
        </w:rPr>
        <w:t xml:space="preserve">Table 2 </w:t>
      </w:r>
      <w:r>
        <w:rPr>
          <w:lang w:val="en-GB"/>
        </w:rPr>
        <w:t>summarizes</w:t>
      </w:r>
      <w:r w:rsidRPr="00A73207">
        <w:rPr>
          <w:lang w:val="en-GB"/>
        </w:rPr>
        <w:t xml:space="preserve"> different program use characteristics </w:t>
      </w:r>
      <w:r w:rsidR="00DD5E90">
        <w:rPr>
          <w:lang w:val="en-GB"/>
        </w:rPr>
        <w:t>across</w:t>
      </w:r>
      <w:r w:rsidRPr="00A73207">
        <w:rPr>
          <w:lang w:val="en-GB"/>
        </w:rPr>
        <w:t xml:space="preserve"> the total sa</w:t>
      </w:r>
      <w:r>
        <w:rPr>
          <w:lang w:val="en-GB"/>
        </w:rPr>
        <w:t xml:space="preserve">mple and by intervention group. </w:t>
      </w:r>
      <w:r w:rsidRPr="00A73207">
        <w:rPr>
          <w:lang w:val="en-GB"/>
        </w:rPr>
        <w:t>Participants answered a mean of</w:t>
      </w:r>
      <w:r>
        <w:rPr>
          <w:lang w:val="en-GB"/>
        </w:rPr>
        <w:t xml:space="preserve"> 6.</w:t>
      </w:r>
      <w:r w:rsidR="00E51345">
        <w:rPr>
          <w:lang w:val="en-GB"/>
        </w:rPr>
        <w:t>6 (</w:t>
      </w:r>
      <w:r w:rsidR="00E51345" w:rsidRPr="00E51345">
        <w:rPr>
          <w:i/>
          <w:lang w:val="en-GB"/>
        </w:rPr>
        <w:t>SD</w:t>
      </w:r>
      <w:r w:rsidR="00E51345">
        <w:rPr>
          <w:lang w:val="en-GB"/>
        </w:rPr>
        <w:t xml:space="preserve"> = 3.5)</w:t>
      </w:r>
      <w:r>
        <w:rPr>
          <w:lang w:val="en-GB"/>
        </w:rPr>
        <w:t xml:space="preserve"> out of</w:t>
      </w:r>
      <w:r w:rsidR="00D92857">
        <w:rPr>
          <w:lang w:val="en-GB"/>
        </w:rPr>
        <w:t xml:space="preserve"> 11</w:t>
      </w:r>
      <w:r>
        <w:rPr>
          <w:lang w:val="en-GB"/>
        </w:rPr>
        <w:t xml:space="preserve"> </w:t>
      </w:r>
      <w:r w:rsidR="00E51345">
        <w:rPr>
          <w:lang w:val="en-GB"/>
        </w:rPr>
        <w:t xml:space="preserve">text message prompts. </w:t>
      </w:r>
      <w:r w:rsidRPr="00A73207">
        <w:rPr>
          <w:lang w:val="en-GB"/>
        </w:rPr>
        <w:t xml:space="preserve">Each participant received between </w:t>
      </w:r>
      <w:r w:rsidR="00DD5E90">
        <w:rPr>
          <w:lang w:val="en-GB"/>
        </w:rPr>
        <w:t>three</w:t>
      </w:r>
      <w:r w:rsidRPr="00A73207">
        <w:rPr>
          <w:lang w:val="en-GB"/>
        </w:rPr>
        <w:t xml:space="preserve"> and </w:t>
      </w:r>
      <w:r w:rsidR="00DD5E90">
        <w:rPr>
          <w:lang w:val="en-GB"/>
        </w:rPr>
        <w:t>five</w:t>
      </w:r>
      <w:r w:rsidRPr="00A73207">
        <w:rPr>
          <w:lang w:val="en-GB"/>
        </w:rPr>
        <w:t xml:space="preserve"> text messages containing media </w:t>
      </w:r>
      <w:r w:rsidRPr="00A73207">
        <w:rPr>
          <w:lang w:val="en-GB"/>
        </w:rPr>
        <w:lastRenderedPageBreak/>
        <w:t>objects (videos, pictures)</w:t>
      </w:r>
      <w:r w:rsidR="00E51345">
        <w:rPr>
          <w:lang w:val="en-GB"/>
        </w:rPr>
        <w:t xml:space="preserve"> which had to be downloaded</w:t>
      </w:r>
      <w:r w:rsidRPr="00A73207">
        <w:rPr>
          <w:lang w:val="en-GB"/>
        </w:rPr>
        <w:t>. On average</w:t>
      </w:r>
      <w:r w:rsidR="00E51345">
        <w:rPr>
          <w:lang w:val="en-GB"/>
        </w:rPr>
        <w:t>,</w:t>
      </w:r>
      <w:r w:rsidRPr="00A73207">
        <w:rPr>
          <w:lang w:val="en-GB"/>
        </w:rPr>
        <w:t xml:space="preserve"> participants </w:t>
      </w:r>
      <w:r w:rsidR="00E51345">
        <w:rPr>
          <w:lang w:val="en-GB"/>
        </w:rPr>
        <w:t>downloaded</w:t>
      </w:r>
      <w:r w:rsidRPr="00A73207">
        <w:rPr>
          <w:lang w:val="en-GB"/>
        </w:rPr>
        <w:t xml:space="preserve"> 20.5%</w:t>
      </w:r>
      <w:r w:rsidR="00E51345">
        <w:rPr>
          <w:lang w:val="en-GB"/>
        </w:rPr>
        <w:t xml:space="preserve"> (</w:t>
      </w:r>
      <w:r w:rsidR="00E51345" w:rsidRPr="00E51345">
        <w:rPr>
          <w:i/>
          <w:lang w:val="en-GB"/>
        </w:rPr>
        <w:t>SD</w:t>
      </w:r>
      <w:r w:rsidR="00E51345">
        <w:rPr>
          <w:lang w:val="en-GB"/>
        </w:rPr>
        <w:t xml:space="preserve"> = 31.5)</w:t>
      </w:r>
      <w:r w:rsidRPr="00A73207">
        <w:rPr>
          <w:lang w:val="en-GB"/>
        </w:rPr>
        <w:t xml:space="preserve"> of the received media content.</w:t>
      </w:r>
      <w:r w:rsidR="00E51345">
        <w:rPr>
          <w:lang w:val="en-GB"/>
        </w:rPr>
        <w:t xml:space="preserve"> Participants in the </w:t>
      </w:r>
      <w:r w:rsidR="003F6095" w:rsidRPr="00D05234">
        <w:rPr>
          <w:i/>
          <w:lang w:val="en-GB"/>
        </w:rPr>
        <w:t>MCT+</w:t>
      </w:r>
      <w:r w:rsidR="00E51345">
        <w:rPr>
          <w:lang w:val="en-GB"/>
        </w:rPr>
        <w:t xml:space="preserve"> downloaded </w:t>
      </w:r>
      <w:r w:rsidR="00B13B07">
        <w:rPr>
          <w:lang w:val="en-GB"/>
        </w:rPr>
        <w:t xml:space="preserve">media content </w:t>
      </w:r>
      <w:r w:rsidR="00E51345">
        <w:rPr>
          <w:lang w:val="en-GB"/>
        </w:rPr>
        <w:t xml:space="preserve">significantly more often </w:t>
      </w:r>
      <w:r w:rsidR="00B13B07">
        <w:rPr>
          <w:lang w:val="en-GB"/>
        </w:rPr>
        <w:t xml:space="preserve">than their </w:t>
      </w:r>
      <w:r w:rsidR="00843B01" w:rsidRPr="00D05234">
        <w:rPr>
          <w:i/>
          <w:lang w:val="en-GB"/>
        </w:rPr>
        <w:t>MCT</w:t>
      </w:r>
      <w:r w:rsidR="00E51345">
        <w:rPr>
          <w:lang w:val="en-GB"/>
        </w:rPr>
        <w:t xml:space="preserve"> </w:t>
      </w:r>
      <w:r w:rsidR="00B13B07">
        <w:rPr>
          <w:lang w:val="en-GB"/>
        </w:rPr>
        <w:t xml:space="preserve">counterparts </w:t>
      </w:r>
      <w:r w:rsidR="00E51345">
        <w:rPr>
          <w:lang w:val="en-GB"/>
        </w:rPr>
        <w:t xml:space="preserve">(23.6% vs. 17.9%, </w:t>
      </w:r>
      <w:r w:rsidR="005A39C0">
        <w:rPr>
          <w:i/>
          <w:lang w:val="en-GB"/>
        </w:rPr>
        <w:t>P</w:t>
      </w:r>
      <w:r w:rsidR="00E51345">
        <w:rPr>
          <w:lang w:val="en-GB"/>
        </w:rPr>
        <w:t xml:space="preserve"> &lt; .001).</w:t>
      </w:r>
      <w:r w:rsidR="00696ED1">
        <w:rPr>
          <w:lang w:val="en-GB"/>
        </w:rPr>
        <w:t xml:space="preserve"> </w:t>
      </w:r>
      <w:r w:rsidR="00B13B07">
        <w:rPr>
          <w:lang w:val="en-GB"/>
        </w:rPr>
        <w:t xml:space="preserve">Roughly half of the subjects answered all or almost </w:t>
      </w:r>
      <w:r w:rsidR="00313E16">
        <w:rPr>
          <w:lang w:val="en-GB"/>
        </w:rPr>
        <w:t xml:space="preserve">all </w:t>
      </w:r>
      <w:r w:rsidR="00B13B07">
        <w:rPr>
          <w:lang w:val="en-GB"/>
        </w:rPr>
        <w:t xml:space="preserve">of their </w:t>
      </w:r>
      <w:r w:rsidR="00313E16">
        <w:rPr>
          <w:lang w:val="en-GB"/>
        </w:rPr>
        <w:t>text message prompts.</w:t>
      </w:r>
      <w:r w:rsidR="00696ED1">
        <w:rPr>
          <w:lang w:val="en-GB"/>
        </w:rPr>
        <w:t xml:space="preserve"> </w:t>
      </w:r>
      <w:r w:rsidR="00313E16">
        <w:rPr>
          <w:lang w:val="en-GB"/>
        </w:rPr>
        <w:t xml:space="preserve">The fewest answers were recorded for the contest prompt at week 8 (24.9%) and for the </w:t>
      </w:r>
      <w:r w:rsidR="00786183">
        <w:rPr>
          <w:lang w:val="en-GB"/>
        </w:rPr>
        <w:t>HAPA stage query at week 10</w:t>
      </w:r>
      <w:r w:rsidR="00313E16">
        <w:rPr>
          <w:lang w:val="en-GB"/>
        </w:rPr>
        <w:t xml:space="preserve"> (</w:t>
      </w:r>
      <w:r w:rsidR="00786183">
        <w:rPr>
          <w:lang w:val="en-GB"/>
        </w:rPr>
        <w:t>42.9</w:t>
      </w:r>
      <w:r w:rsidR="00313E16">
        <w:rPr>
          <w:lang w:val="en-GB"/>
        </w:rPr>
        <w:t xml:space="preserve">%). </w:t>
      </w:r>
    </w:p>
    <w:p w14:paraId="34208353" w14:textId="77777777" w:rsidR="00313E16" w:rsidRDefault="00313E16" w:rsidP="00A73207">
      <w:pPr>
        <w:spacing w:line="480" w:lineRule="auto"/>
        <w:rPr>
          <w:lang w:val="en-GB"/>
        </w:rPr>
      </w:pPr>
    </w:p>
    <w:tbl>
      <w:tblPr>
        <w:tblW w:w="10065" w:type="dxa"/>
        <w:tblCellMar>
          <w:left w:w="70" w:type="dxa"/>
          <w:right w:w="70" w:type="dxa"/>
        </w:tblCellMar>
        <w:tblLook w:val="04A0" w:firstRow="1" w:lastRow="0" w:firstColumn="1" w:lastColumn="0" w:noHBand="0" w:noVBand="1"/>
      </w:tblPr>
      <w:tblGrid>
        <w:gridCol w:w="4395"/>
        <w:gridCol w:w="1559"/>
        <w:gridCol w:w="1588"/>
        <w:gridCol w:w="1637"/>
        <w:gridCol w:w="425"/>
        <w:gridCol w:w="461"/>
      </w:tblGrid>
      <w:tr w:rsidR="006C346E" w:rsidRPr="00D52AD1" w14:paraId="5F6222D9" w14:textId="77777777" w:rsidTr="00686C5C">
        <w:trPr>
          <w:gridAfter w:val="1"/>
          <w:wAfter w:w="461" w:type="dxa"/>
          <w:trHeight w:val="722"/>
        </w:trPr>
        <w:tc>
          <w:tcPr>
            <w:tcW w:w="9604" w:type="dxa"/>
            <w:gridSpan w:val="5"/>
            <w:tcBorders>
              <w:top w:val="nil"/>
              <w:left w:val="nil"/>
              <w:right w:val="nil"/>
            </w:tcBorders>
          </w:tcPr>
          <w:p w14:paraId="5E5AE077" w14:textId="76505C0E" w:rsidR="006C346E" w:rsidRPr="00C63F25" w:rsidRDefault="006C346E" w:rsidP="00B13B07">
            <w:pPr>
              <w:spacing w:line="480" w:lineRule="auto"/>
              <w:rPr>
                <w:szCs w:val="20"/>
                <w:lang w:val="en-GB"/>
              </w:rPr>
            </w:pPr>
            <w:r w:rsidRPr="00C63F25">
              <w:rPr>
                <w:rFonts w:ascii="Times" w:hAnsi="Times" w:cs="Times"/>
                <w:color w:val="000000"/>
                <w:szCs w:val="22"/>
                <w:lang w:val="en-GB"/>
              </w:rPr>
              <w:t xml:space="preserve">Table 2. Use of program components </w:t>
            </w:r>
            <w:r w:rsidR="00B13B07">
              <w:rPr>
                <w:rFonts w:ascii="Times" w:hAnsi="Times" w:cs="Times"/>
                <w:color w:val="000000"/>
                <w:szCs w:val="22"/>
                <w:lang w:val="en-GB"/>
              </w:rPr>
              <w:t xml:space="preserve">by the overall </w:t>
            </w:r>
            <w:r w:rsidRPr="00C63F25">
              <w:rPr>
                <w:rFonts w:ascii="Times" w:hAnsi="Times" w:cs="Times"/>
                <w:color w:val="000000"/>
                <w:szCs w:val="22"/>
                <w:lang w:val="en-GB"/>
              </w:rPr>
              <w:t>study sample</w:t>
            </w:r>
            <w:r>
              <w:rPr>
                <w:rFonts w:ascii="Times" w:hAnsi="Times" w:cs="Times"/>
                <w:color w:val="000000"/>
                <w:szCs w:val="22"/>
                <w:lang w:val="en-GB"/>
              </w:rPr>
              <w:t xml:space="preserve"> and by study group</w:t>
            </w:r>
            <w:r w:rsidRPr="00C63F25">
              <w:rPr>
                <w:rFonts w:ascii="Times" w:hAnsi="Times" w:cs="Times"/>
                <w:color w:val="000000"/>
                <w:szCs w:val="22"/>
                <w:lang w:val="en-GB"/>
              </w:rPr>
              <w:t xml:space="preserve">. </w:t>
            </w:r>
            <w:r w:rsidRPr="00C63F25">
              <w:rPr>
                <w:lang w:val="en-GB"/>
              </w:rPr>
              <w:t>Values represent n (%) unless stated otherwise.</w:t>
            </w:r>
          </w:p>
        </w:tc>
      </w:tr>
      <w:tr w:rsidR="00686C5C" w:rsidRPr="00C63F25" w14:paraId="426829A7" w14:textId="77777777" w:rsidTr="00686C5C">
        <w:trPr>
          <w:trHeight w:val="282"/>
        </w:trPr>
        <w:tc>
          <w:tcPr>
            <w:tcW w:w="4395" w:type="dxa"/>
            <w:tcBorders>
              <w:top w:val="single" w:sz="4" w:space="0" w:color="auto"/>
              <w:left w:val="nil"/>
              <w:bottom w:val="nil"/>
              <w:right w:val="nil"/>
            </w:tcBorders>
            <w:shd w:val="clear" w:color="auto" w:fill="auto"/>
            <w:noWrap/>
            <w:vAlign w:val="bottom"/>
            <w:hideMark/>
          </w:tcPr>
          <w:p w14:paraId="52DFD511" w14:textId="77777777" w:rsidR="00686C5C" w:rsidRPr="00C63F25" w:rsidRDefault="00686C5C" w:rsidP="00E51A65">
            <w:pPr>
              <w:spacing w:line="480" w:lineRule="auto"/>
              <w:rPr>
                <w:rFonts w:ascii="Times" w:hAnsi="Times" w:cs="Times"/>
                <w:color w:val="000000"/>
                <w:szCs w:val="22"/>
                <w:lang w:val="en-GB"/>
              </w:rPr>
            </w:pPr>
            <w:r w:rsidRPr="00C63F25">
              <w:rPr>
                <w:rFonts w:ascii="Times" w:hAnsi="Times" w:cs="Times"/>
                <w:color w:val="000000"/>
                <w:szCs w:val="22"/>
                <w:lang w:val="en-GB"/>
              </w:rPr>
              <w:t> </w:t>
            </w:r>
          </w:p>
        </w:tc>
        <w:tc>
          <w:tcPr>
            <w:tcW w:w="1559" w:type="dxa"/>
            <w:tcBorders>
              <w:top w:val="single" w:sz="4" w:space="0" w:color="auto"/>
              <w:left w:val="nil"/>
              <w:bottom w:val="nil"/>
              <w:right w:val="nil"/>
            </w:tcBorders>
            <w:shd w:val="clear" w:color="auto" w:fill="auto"/>
            <w:noWrap/>
            <w:vAlign w:val="bottom"/>
            <w:hideMark/>
          </w:tcPr>
          <w:p w14:paraId="6FFDDF24" w14:textId="77777777" w:rsidR="00686C5C" w:rsidRPr="00C63F25" w:rsidRDefault="00686C5C" w:rsidP="00E51A65">
            <w:pPr>
              <w:spacing w:line="480" w:lineRule="auto"/>
              <w:jc w:val="center"/>
              <w:rPr>
                <w:rFonts w:ascii="Times" w:hAnsi="Times" w:cs="Times"/>
                <w:color w:val="000000"/>
                <w:szCs w:val="22"/>
                <w:lang w:val="en-GB"/>
              </w:rPr>
            </w:pPr>
            <w:r w:rsidRPr="00C63F25">
              <w:rPr>
                <w:rFonts w:ascii="Times" w:hAnsi="Times" w:cs="Times"/>
                <w:color w:val="000000"/>
                <w:szCs w:val="22"/>
                <w:lang w:val="en-GB"/>
              </w:rPr>
              <w:t>All</w:t>
            </w:r>
          </w:p>
        </w:tc>
        <w:tc>
          <w:tcPr>
            <w:tcW w:w="1588" w:type="dxa"/>
            <w:tcBorders>
              <w:top w:val="single" w:sz="4" w:space="0" w:color="auto"/>
              <w:left w:val="nil"/>
              <w:bottom w:val="nil"/>
              <w:right w:val="nil"/>
            </w:tcBorders>
            <w:shd w:val="clear" w:color="auto" w:fill="auto"/>
            <w:noWrap/>
            <w:vAlign w:val="bottom"/>
            <w:hideMark/>
          </w:tcPr>
          <w:p w14:paraId="79664C7B" w14:textId="77777777" w:rsidR="00686C5C" w:rsidRPr="00C63F25" w:rsidRDefault="00686C5C" w:rsidP="00E51A65">
            <w:pPr>
              <w:spacing w:line="480" w:lineRule="auto"/>
              <w:jc w:val="center"/>
              <w:rPr>
                <w:rFonts w:ascii="Times" w:hAnsi="Times" w:cs="Times"/>
                <w:color w:val="000000"/>
                <w:szCs w:val="22"/>
                <w:lang w:val="en-GB"/>
              </w:rPr>
            </w:pPr>
            <w:r w:rsidRPr="00C63F25">
              <w:rPr>
                <w:rFonts w:ascii="Times" w:hAnsi="Times" w:cs="Times"/>
                <w:color w:val="000000"/>
                <w:szCs w:val="22"/>
                <w:lang w:val="en-GB"/>
              </w:rPr>
              <w:t>MCT</w:t>
            </w:r>
          </w:p>
        </w:tc>
        <w:tc>
          <w:tcPr>
            <w:tcW w:w="1637" w:type="dxa"/>
            <w:tcBorders>
              <w:top w:val="single" w:sz="4" w:space="0" w:color="auto"/>
              <w:left w:val="nil"/>
              <w:bottom w:val="nil"/>
              <w:right w:val="nil"/>
            </w:tcBorders>
            <w:shd w:val="clear" w:color="auto" w:fill="auto"/>
            <w:noWrap/>
            <w:vAlign w:val="bottom"/>
            <w:hideMark/>
          </w:tcPr>
          <w:p w14:paraId="6490F3CE" w14:textId="77777777" w:rsidR="00686C5C" w:rsidRPr="00C63F25" w:rsidRDefault="00686C5C" w:rsidP="00E51A65">
            <w:pPr>
              <w:spacing w:line="480" w:lineRule="auto"/>
              <w:jc w:val="center"/>
              <w:rPr>
                <w:rFonts w:ascii="Times" w:hAnsi="Times" w:cs="Times"/>
                <w:color w:val="000000"/>
                <w:szCs w:val="22"/>
                <w:lang w:val="en-GB"/>
              </w:rPr>
            </w:pPr>
            <w:r w:rsidRPr="00C63F25">
              <w:rPr>
                <w:rFonts w:ascii="Times" w:hAnsi="Times" w:cs="Times"/>
                <w:color w:val="000000"/>
                <w:szCs w:val="22"/>
                <w:lang w:val="en-GB"/>
              </w:rPr>
              <w:t>MCT+</w:t>
            </w:r>
          </w:p>
        </w:tc>
        <w:tc>
          <w:tcPr>
            <w:tcW w:w="886" w:type="dxa"/>
            <w:gridSpan w:val="2"/>
            <w:tcBorders>
              <w:top w:val="single" w:sz="4" w:space="0" w:color="auto"/>
              <w:left w:val="nil"/>
              <w:bottom w:val="nil"/>
              <w:right w:val="nil"/>
            </w:tcBorders>
            <w:shd w:val="clear" w:color="auto" w:fill="auto"/>
            <w:noWrap/>
            <w:vAlign w:val="bottom"/>
            <w:hideMark/>
          </w:tcPr>
          <w:p w14:paraId="27E6200C" w14:textId="77777777" w:rsidR="00686C5C" w:rsidRPr="00C63F25" w:rsidRDefault="00686C5C" w:rsidP="00E51A65">
            <w:pPr>
              <w:spacing w:line="480" w:lineRule="auto"/>
              <w:jc w:val="center"/>
              <w:rPr>
                <w:rFonts w:ascii="Times" w:hAnsi="Times" w:cs="Times"/>
                <w:i/>
                <w:color w:val="000000"/>
                <w:szCs w:val="22"/>
                <w:lang w:val="en-GB"/>
              </w:rPr>
            </w:pPr>
            <w:r>
              <w:rPr>
                <w:rFonts w:ascii="Times" w:hAnsi="Times" w:cs="Times"/>
                <w:i/>
                <w:color w:val="000000"/>
                <w:szCs w:val="22"/>
                <w:lang w:val="en-GB"/>
              </w:rPr>
              <w:t>P</w:t>
            </w:r>
            <w:r w:rsidRPr="00C63F25">
              <w:rPr>
                <w:rFonts w:ascii="Times" w:hAnsi="Times" w:cs="Times"/>
                <w:i/>
                <w:color w:val="000000"/>
                <w:szCs w:val="22"/>
                <w:lang w:val="en-GB"/>
              </w:rPr>
              <w:t xml:space="preserve"> </w:t>
            </w:r>
            <w:r w:rsidRPr="00D60C9C">
              <w:rPr>
                <w:rFonts w:ascii="Times" w:hAnsi="Times" w:cs="Times"/>
                <w:color w:val="000000"/>
                <w:szCs w:val="22"/>
                <w:lang w:val="en-GB"/>
              </w:rPr>
              <w:t>value</w:t>
            </w:r>
          </w:p>
        </w:tc>
      </w:tr>
      <w:tr w:rsidR="00686C5C" w:rsidRPr="00C63F25" w14:paraId="4FAE181E" w14:textId="77777777" w:rsidTr="00686C5C">
        <w:trPr>
          <w:trHeight w:val="282"/>
        </w:trPr>
        <w:tc>
          <w:tcPr>
            <w:tcW w:w="4395" w:type="dxa"/>
            <w:tcBorders>
              <w:top w:val="nil"/>
              <w:left w:val="nil"/>
              <w:bottom w:val="single" w:sz="4" w:space="0" w:color="auto"/>
              <w:right w:val="nil"/>
            </w:tcBorders>
            <w:shd w:val="clear" w:color="auto" w:fill="auto"/>
            <w:noWrap/>
            <w:vAlign w:val="bottom"/>
            <w:hideMark/>
          </w:tcPr>
          <w:p w14:paraId="3112B579" w14:textId="77777777" w:rsidR="00686C5C" w:rsidRPr="00C63F25" w:rsidRDefault="00686C5C" w:rsidP="00E51A65">
            <w:pPr>
              <w:spacing w:line="480" w:lineRule="auto"/>
              <w:rPr>
                <w:rFonts w:ascii="Times" w:hAnsi="Times" w:cs="Times"/>
                <w:color w:val="000000"/>
                <w:szCs w:val="22"/>
                <w:lang w:val="en-GB"/>
              </w:rPr>
            </w:pPr>
            <w:r w:rsidRPr="00C63F25">
              <w:rPr>
                <w:rFonts w:ascii="Times" w:hAnsi="Times" w:cs="Times"/>
                <w:color w:val="000000"/>
                <w:szCs w:val="22"/>
                <w:lang w:val="en-GB"/>
              </w:rPr>
              <w:t> </w:t>
            </w:r>
          </w:p>
        </w:tc>
        <w:tc>
          <w:tcPr>
            <w:tcW w:w="1559" w:type="dxa"/>
            <w:tcBorders>
              <w:top w:val="nil"/>
              <w:left w:val="nil"/>
              <w:bottom w:val="single" w:sz="4" w:space="0" w:color="auto"/>
              <w:right w:val="nil"/>
            </w:tcBorders>
            <w:shd w:val="clear" w:color="auto" w:fill="auto"/>
            <w:noWrap/>
            <w:vAlign w:val="bottom"/>
            <w:hideMark/>
          </w:tcPr>
          <w:p w14:paraId="35C8B993" w14:textId="77777777" w:rsidR="00686C5C" w:rsidRPr="00C63F25" w:rsidRDefault="00686C5C" w:rsidP="00E51A65">
            <w:pPr>
              <w:spacing w:line="480" w:lineRule="auto"/>
              <w:jc w:val="center"/>
              <w:rPr>
                <w:rFonts w:ascii="Times" w:hAnsi="Times" w:cs="Times"/>
                <w:color w:val="000000"/>
                <w:szCs w:val="22"/>
                <w:lang w:val="en-GB"/>
              </w:rPr>
            </w:pPr>
            <w:r>
              <w:rPr>
                <w:rFonts w:ascii="Times" w:hAnsi="Times" w:cs="Times"/>
                <w:color w:val="000000"/>
                <w:szCs w:val="22"/>
                <w:lang w:val="en-GB"/>
              </w:rPr>
              <w:t>(N= 14</w:t>
            </w:r>
            <w:r w:rsidRPr="00C63F25">
              <w:rPr>
                <w:rFonts w:ascii="Times" w:hAnsi="Times" w:cs="Times"/>
                <w:color w:val="000000"/>
                <w:szCs w:val="22"/>
                <w:lang w:val="en-GB"/>
              </w:rPr>
              <w:t>1</w:t>
            </w:r>
            <w:r>
              <w:rPr>
                <w:rFonts w:ascii="Times" w:hAnsi="Times" w:cs="Times"/>
                <w:color w:val="000000"/>
                <w:szCs w:val="22"/>
                <w:lang w:val="en-GB"/>
              </w:rPr>
              <w:t>8</w:t>
            </w:r>
            <w:r w:rsidRPr="00C63F25">
              <w:rPr>
                <w:rFonts w:ascii="Times" w:hAnsi="Times" w:cs="Times"/>
                <w:color w:val="000000"/>
                <w:szCs w:val="22"/>
                <w:lang w:val="en-GB"/>
              </w:rPr>
              <w:t>)</w:t>
            </w:r>
          </w:p>
        </w:tc>
        <w:tc>
          <w:tcPr>
            <w:tcW w:w="1588" w:type="dxa"/>
            <w:tcBorders>
              <w:top w:val="nil"/>
              <w:left w:val="nil"/>
              <w:bottom w:val="single" w:sz="4" w:space="0" w:color="auto"/>
              <w:right w:val="nil"/>
            </w:tcBorders>
            <w:shd w:val="clear" w:color="auto" w:fill="auto"/>
            <w:noWrap/>
            <w:vAlign w:val="bottom"/>
            <w:hideMark/>
          </w:tcPr>
          <w:p w14:paraId="70841557" w14:textId="77777777" w:rsidR="00686C5C" w:rsidRPr="00C63F25" w:rsidRDefault="00686C5C" w:rsidP="00E51A65">
            <w:pPr>
              <w:spacing w:line="480" w:lineRule="auto"/>
              <w:jc w:val="center"/>
              <w:rPr>
                <w:rFonts w:ascii="Times" w:hAnsi="Times" w:cs="Times"/>
                <w:color w:val="000000"/>
                <w:szCs w:val="22"/>
                <w:lang w:val="en-GB"/>
              </w:rPr>
            </w:pPr>
            <w:r>
              <w:rPr>
                <w:rFonts w:ascii="Times" w:hAnsi="Times" w:cs="Times"/>
                <w:color w:val="000000"/>
                <w:szCs w:val="22"/>
                <w:lang w:val="en-GB"/>
              </w:rPr>
              <w:t>(n= 7</w:t>
            </w:r>
            <w:r w:rsidRPr="00C63F25">
              <w:rPr>
                <w:rFonts w:ascii="Times" w:hAnsi="Times" w:cs="Times"/>
                <w:color w:val="000000"/>
                <w:szCs w:val="22"/>
                <w:lang w:val="en-GB"/>
              </w:rPr>
              <w:t>1</w:t>
            </w:r>
            <w:r>
              <w:rPr>
                <w:rFonts w:ascii="Times" w:hAnsi="Times" w:cs="Times"/>
                <w:color w:val="000000"/>
                <w:szCs w:val="22"/>
                <w:lang w:val="en-GB"/>
              </w:rPr>
              <w:t>2</w:t>
            </w:r>
            <w:r w:rsidRPr="00C63F25">
              <w:rPr>
                <w:rFonts w:ascii="Times" w:hAnsi="Times" w:cs="Times"/>
                <w:color w:val="000000"/>
                <w:szCs w:val="22"/>
                <w:lang w:val="en-GB"/>
              </w:rPr>
              <w:t>)</w:t>
            </w:r>
          </w:p>
        </w:tc>
        <w:tc>
          <w:tcPr>
            <w:tcW w:w="1637" w:type="dxa"/>
            <w:tcBorders>
              <w:top w:val="nil"/>
              <w:left w:val="nil"/>
              <w:bottom w:val="single" w:sz="4" w:space="0" w:color="auto"/>
              <w:right w:val="nil"/>
            </w:tcBorders>
            <w:shd w:val="clear" w:color="auto" w:fill="auto"/>
            <w:noWrap/>
            <w:vAlign w:val="bottom"/>
            <w:hideMark/>
          </w:tcPr>
          <w:p w14:paraId="16339BC0" w14:textId="77777777" w:rsidR="00686C5C" w:rsidRPr="00C63F25" w:rsidRDefault="00686C5C" w:rsidP="00E51A65">
            <w:pPr>
              <w:spacing w:line="480" w:lineRule="auto"/>
              <w:jc w:val="center"/>
              <w:rPr>
                <w:rFonts w:ascii="Times" w:hAnsi="Times" w:cs="Times"/>
                <w:color w:val="000000"/>
                <w:szCs w:val="22"/>
                <w:lang w:val="en-GB"/>
              </w:rPr>
            </w:pPr>
            <w:r>
              <w:rPr>
                <w:rFonts w:ascii="Times" w:hAnsi="Times" w:cs="Times"/>
                <w:color w:val="000000"/>
                <w:szCs w:val="22"/>
                <w:lang w:val="en-GB"/>
              </w:rPr>
              <w:t>(n= 7</w:t>
            </w:r>
            <w:r w:rsidRPr="00C63F25">
              <w:rPr>
                <w:rFonts w:ascii="Times" w:hAnsi="Times" w:cs="Times"/>
                <w:color w:val="000000"/>
                <w:szCs w:val="22"/>
                <w:lang w:val="en-GB"/>
              </w:rPr>
              <w:t>0</w:t>
            </w:r>
            <w:r>
              <w:rPr>
                <w:rFonts w:ascii="Times" w:hAnsi="Times" w:cs="Times"/>
                <w:color w:val="000000"/>
                <w:szCs w:val="22"/>
                <w:lang w:val="en-GB"/>
              </w:rPr>
              <w:t>6</w:t>
            </w:r>
            <w:r w:rsidRPr="00C63F25">
              <w:rPr>
                <w:rFonts w:ascii="Times" w:hAnsi="Times" w:cs="Times"/>
                <w:color w:val="000000"/>
                <w:szCs w:val="22"/>
                <w:lang w:val="en-GB"/>
              </w:rPr>
              <w:t>)</w:t>
            </w:r>
          </w:p>
        </w:tc>
        <w:tc>
          <w:tcPr>
            <w:tcW w:w="886" w:type="dxa"/>
            <w:gridSpan w:val="2"/>
            <w:tcBorders>
              <w:top w:val="nil"/>
              <w:left w:val="nil"/>
              <w:bottom w:val="single" w:sz="4" w:space="0" w:color="auto"/>
              <w:right w:val="nil"/>
            </w:tcBorders>
            <w:shd w:val="clear" w:color="auto" w:fill="auto"/>
            <w:noWrap/>
            <w:vAlign w:val="bottom"/>
            <w:hideMark/>
          </w:tcPr>
          <w:p w14:paraId="54EAD304" w14:textId="77777777" w:rsidR="00686C5C" w:rsidRPr="00C63F25" w:rsidRDefault="00686C5C" w:rsidP="00E51A65">
            <w:pPr>
              <w:spacing w:line="480" w:lineRule="auto"/>
              <w:jc w:val="center"/>
              <w:rPr>
                <w:rFonts w:ascii="Times" w:hAnsi="Times" w:cs="Times"/>
                <w:color w:val="000000"/>
                <w:szCs w:val="22"/>
                <w:lang w:val="en-GB"/>
              </w:rPr>
            </w:pPr>
            <w:r w:rsidRPr="00C63F25">
              <w:rPr>
                <w:rFonts w:ascii="Times" w:hAnsi="Times" w:cs="Times"/>
                <w:color w:val="000000"/>
                <w:szCs w:val="22"/>
                <w:lang w:val="en-GB"/>
              </w:rPr>
              <w:t> </w:t>
            </w:r>
          </w:p>
        </w:tc>
      </w:tr>
      <w:tr w:rsidR="00686C5C" w:rsidRPr="00C63F25" w14:paraId="64CDC52A" w14:textId="77777777" w:rsidTr="00686C5C">
        <w:trPr>
          <w:trHeight w:val="390"/>
        </w:trPr>
        <w:tc>
          <w:tcPr>
            <w:tcW w:w="4395" w:type="dxa"/>
            <w:tcBorders>
              <w:top w:val="nil"/>
              <w:left w:val="nil"/>
              <w:bottom w:val="nil"/>
              <w:right w:val="nil"/>
            </w:tcBorders>
            <w:shd w:val="clear" w:color="auto" w:fill="auto"/>
            <w:noWrap/>
            <w:vAlign w:val="bottom"/>
            <w:hideMark/>
          </w:tcPr>
          <w:p w14:paraId="64E024AB" w14:textId="77777777" w:rsidR="00686C5C" w:rsidRPr="00C63F25" w:rsidRDefault="00686C5C" w:rsidP="00E51A65">
            <w:pPr>
              <w:spacing w:line="480" w:lineRule="auto"/>
              <w:rPr>
                <w:rFonts w:ascii="Times" w:hAnsi="Times" w:cs="Times"/>
                <w:color w:val="000000"/>
                <w:szCs w:val="22"/>
                <w:lang w:val="en-GB"/>
              </w:rPr>
            </w:pPr>
            <w:r w:rsidRPr="00C63F25">
              <w:rPr>
                <w:rFonts w:ascii="Times" w:hAnsi="Times" w:cs="Times"/>
                <w:color w:val="000000"/>
                <w:szCs w:val="22"/>
                <w:lang w:val="en-GB"/>
              </w:rPr>
              <w:t xml:space="preserve">Questions answered, </w:t>
            </w:r>
            <w:r w:rsidRPr="00C63F25">
              <w:rPr>
                <w:rFonts w:ascii="Times" w:hAnsi="Times" w:cs="Times"/>
                <w:i/>
                <w:color w:val="000000"/>
                <w:szCs w:val="22"/>
                <w:lang w:val="en-GB"/>
              </w:rPr>
              <w:t>M (SD)</w:t>
            </w:r>
            <w:r w:rsidRPr="00C63F25">
              <w:rPr>
                <w:rFonts w:ascii="Times" w:hAnsi="Times" w:cs="Times"/>
                <w:color w:val="000000"/>
                <w:szCs w:val="22"/>
                <w:lang w:val="en-GB"/>
              </w:rPr>
              <w:t xml:space="preserve"> </w:t>
            </w:r>
            <w:r w:rsidRPr="00C63F25">
              <w:rPr>
                <w:rFonts w:ascii="Times" w:hAnsi="Times" w:cs="Times"/>
                <w:color w:val="000000"/>
                <w:szCs w:val="22"/>
                <w:vertAlign w:val="superscript"/>
                <w:lang w:val="en-GB"/>
              </w:rPr>
              <w:t>ab</w:t>
            </w:r>
          </w:p>
        </w:tc>
        <w:tc>
          <w:tcPr>
            <w:tcW w:w="1559" w:type="dxa"/>
            <w:tcBorders>
              <w:top w:val="nil"/>
              <w:left w:val="nil"/>
              <w:bottom w:val="nil"/>
              <w:right w:val="nil"/>
            </w:tcBorders>
            <w:shd w:val="clear" w:color="auto" w:fill="auto"/>
            <w:noWrap/>
            <w:vAlign w:val="bottom"/>
            <w:hideMark/>
          </w:tcPr>
          <w:p w14:paraId="05EB91EF"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6.6 (3.5)</w:t>
            </w:r>
          </w:p>
        </w:tc>
        <w:tc>
          <w:tcPr>
            <w:tcW w:w="1588" w:type="dxa"/>
            <w:tcBorders>
              <w:top w:val="nil"/>
              <w:left w:val="nil"/>
              <w:bottom w:val="nil"/>
              <w:right w:val="nil"/>
            </w:tcBorders>
            <w:shd w:val="clear" w:color="auto" w:fill="auto"/>
            <w:noWrap/>
            <w:vAlign w:val="bottom"/>
            <w:hideMark/>
          </w:tcPr>
          <w:p w14:paraId="394A412F"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6.5 (3.6)</w:t>
            </w:r>
          </w:p>
        </w:tc>
        <w:tc>
          <w:tcPr>
            <w:tcW w:w="1637" w:type="dxa"/>
            <w:tcBorders>
              <w:top w:val="nil"/>
              <w:left w:val="nil"/>
              <w:bottom w:val="nil"/>
              <w:right w:val="nil"/>
            </w:tcBorders>
            <w:shd w:val="clear" w:color="auto" w:fill="auto"/>
            <w:noWrap/>
            <w:vAlign w:val="bottom"/>
            <w:hideMark/>
          </w:tcPr>
          <w:p w14:paraId="70B38D3A"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6.8 (3.5)</w:t>
            </w:r>
          </w:p>
        </w:tc>
        <w:tc>
          <w:tcPr>
            <w:tcW w:w="886" w:type="dxa"/>
            <w:gridSpan w:val="2"/>
            <w:tcBorders>
              <w:top w:val="nil"/>
              <w:left w:val="nil"/>
              <w:bottom w:val="nil"/>
              <w:right w:val="nil"/>
            </w:tcBorders>
            <w:shd w:val="clear" w:color="auto" w:fill="auto"/>
            <w:noWrap/>
            <w:vAlign w:val="bottom"/>
            <w:hideMark/>
          </w:tcPr>
          <w:p w14:paraId="333DCC27"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.22</w:t>
            </w:r>
          </w:p>
        </w:tc>
      </w:tr>
      <w:tr w:rsidR="00686C5C" w:rsidRPr="00C63F25" w14:paraId="1ECA1417" w14:textId="77777777" w:rsidTr="00686C5C">
        <w:trPr>
          <w:trHeight w:val="566"/>
        </w:trPr>
        <w:tc>
          <w:tcPr>
            <w:tcW w:w="4395" w:type="dxa"/>
            <w:tcBorders>
              <w:top w:val="nil"/>
              <w:left w:val="nil"/>
              <w:bottom w:val="nil"/>
              <w:right w:val="nil"/>
            </w:tcBorders>
            <w:shd w:val="clear" w:color="auto" w:fill="auto"/>
            <w:vAlign w:val="bottom"/>
            <w:hideMark/>
          </w:tcPr>
          <w:p w14:paraId="4511C3A9" w14:textId="09C5EC6E" w:rsidR="00686C5C" w:rsidRPr="00C63F25" w:rsidRDefault="00686C5C" w:rsidP="002C29DD">
            <w:pPr>
              <w:spacing w:line="480" w:lineRule="auto"/>
              <w:rPr>
                <w:rFonts w:ascii="Times" w:hAnsi="Times" w:cs="Times"/>
                <w:color w:val="000000"/>
                <w:szCs w:val="22"/>
                <w:lang w:val="en-GB"/>
              </w:rPr>
            </w:pPr>
            <w:r w:rsidRPr="00C63F25">
              <w:rPr>
                <w:rFonts w:ascii="Times" w:hAnsi="Times" w:cs="Times"/>
                <w:color w:val="000000"/>
                <w:szCs w:val="22"/>
                <w:lang w:val="en-GB"/>
              </w:rPr>
              <w:t xml:space="preserve">Percent media objects </w:t>
            </w:r>
            <w:r>
              <w:rPr>
                <w:rFonts w:ascii="Times" w:hAnsi="Times" w:cs="Times"/>
                <w:color w:val="000000"/>
                <w:szCs w:val="22"/>
                <w:lang w:val="en-GB"/>
              </w:rPr>
              <w:t>viewed</w:t>
            </w:r>
            <w:r w:rsidR="002C29DD">
              <w:rPr>
                <w:rFonts w:ascii="Times" w:hAnsi="Times" w:cs="Times"/>
                <w:color w:val="000000"/>
                <w:szCs w:val="22"/>
                <w:lang w:val="en-GB"/>
              </w:rPr>
              <w:t xml:space="preserve"> / </w:t>
            </w:r>
            <w:r w:rsidR="002C29DD" w:rsidRPr="00C63F25">
              <w:rPr>
                <w:rFonts w:ascii="Times" w:hAnsi="Times" w:cs="Times"/>
                <w:color w:val="000000"/>
                <w:szCs w:val="22"/>
                <w:lang w:val="en-GB"/>
              </w:rPr>
              <w:t>of media ob</w:t>
            </w:r>
            <w:r w:rsidR="002C29DD">
              <w:rPr>
                <w:rFonts w:ascii="Times" w:hAnsi="Times" w:cs="Times"/>
                <w:color w:val="000000"/>
                <w:szCs w:val="22"/>
                <w:lang w:val="en-GB"/>
              </w:rPr>
              <w:t>jects sent</w:t>
            </w:r>
            <w:r w:rsidRPr="00C63F25">
              <w:rPr>
                <w:rFonts w:ascii="Times" w:hAnsi="Times" w:cs="Times"/>
                <w:color w:val="000000"/>
                <w:szCs w:val="22"/>
                <w:lang w:val="en-GB"/>
              </w:rPr>
              <w:t xml:space="preserve">, </w:t>
            </w:r>
            <w:r w:rsidRPr="00C63F25">
              <w:rPr>
                <w:rFonts w:ascii="Times" w:hAnsi="Times" w:cs="Times"/>
                <w:i/>
                <w:color w:val="000000"/>
                <w:szCs w:val="22"/>
                <w:lang w:val="en-GB"/>
              </w:rPr>
              <w:t>M (SD)</w:t>
            </w:r>
            <w:r w:rsidRPr="00C63F25">
              <w:rPr>
                <w:rFonts w:ascii="Times" w:hAnsi="Times" w:cs="Times"/>
                <w:color w:val="000000"/>
                <w:szCs w:val="22"/>
                <w:vertAlign w:val="superscript"/>
                <w:lang w:val="en-GB"/>
              </w:rPr>
              <w:t xml:space="preserve"> ab</w:t>
            </w:r>
          </w:p>
        </w:tc>
        <w:tc>
          <w:tcPr>
            <w:tcW w:w="1559" w:type="dxa"/>
            <w:tcBorders>
              <w:top w:val="nil"/>
              <w:left w:val="nil"/>
              <w:bottom w:val="nil"/>
              <w:right w:val="nil"/>
            </w:tcBorders>
            <w:shd w:val="clear" w:color="auto" w:fill="auto"/>
            <w:noWrap/>
            <w:vAlign w:val="bottom"/>
            <w:hideMark/>
          </w:tcPr>
          <w:p w14:paraId="558BF758"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20.8</w:t>
            </w:r>
            <w:r>
              <w:rPr>
                <w:rFonts w:ascii="Times" w:hAnsi="Times" w:cs="Times"/>
                <w:color w:val="000000"/>
                <w:szCs w:val="22"/>
              </w:rPr>
              <w:t>%</w:t>
            </w:r>
            <w:r w:rsidRPr="000C69A0">
              <w:rPr>
                <w:rFonts w:ascii="Times" w:hAnsi="Times" w:cs="Times"/>
                <w:color w:val="000000"/>
                <w:szCs w:val="22"/>
              </w:rPr>
              <w:t xml:space="preserve"> (31.5)</w:t>
            </w:r>
          </w:p>
        </w:tc>
        <w:tc>
          <w:tcPr>
            <w:tcW w:w="1588" w:type="dxa"/>
            <w:tcBorders>
              <w:top w:val="nil"/>
              <w:left w:val="nil"/>
              <w:bottom w:val="nil"/>
              <w:right w:val="nil"/>
            </w:tcBorders>
            <w:shd w:val="clear" w:color="auto" w:fill="auto"/>
            <w:noWrap/>
            <w:vAlign w:val="bottom"/>
            <w:hideMark/>
          </w:tcPr>
          <w:p w14:paraId="759CD9B6"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17.9</w:t>
            </w:r>
            <w:r>
              <w:rPr>
                <w:rFonts w:ascii="Times" w:hAnsi="Times" w:cs="Times"/>
                <w:color w:val="000000"/>
                <w:szCs w:val="22"/>
              </w:rPr>
              <w:t>%</w:t>
            </w:r>
            <w:r w:rsidRPr="000C69A0">
              <w:rPr>
                <w:rFonts w:ascii="Times" w:hAnsi="Times" w:cs="Times"/>
                <w:color w:val="000000"/>
                <w:szCs w:val="22"/>
              </w:rPr>
              <w:t xml:space="preserve"> (32.6)</w:t>
            </w:r>
          </w:p>
        </w:tc>
        <w:tc>
          <w:tcPr>
            <w:tcW w:w="1637" w:type="dxa"/>
            <w:tcBorders>
              <w:top w:val="nil"/>
              <w:left w:val="nil"/>
              <w:bottom w:val="nil"/>
              <w:right w:val="nil"/>
            </w:tcBorders>
            <w:shd w:val="clear" w:color="auto" w:fill="auto"/>
            <w:noWrap/>
            <w:vAlign w:val="bottom"/>
            <w:hideMark/>
          </w:tcPr>
          <w:p w14:paraId="1D5906CB"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23.6</w:t>
            </w:r>
            <w:r>
              <w:rPr>
                <w:rFonts w:ascii="Times" w:hAnsi="Times" w:cs="Times"/>
                <w:color w:val="000000"/>
                <w:szCs w:val="22"/>
              </w:rPr>
              <w:t>%</w:t>
            </w:r>
            <w:r w:rsidRPr="000C69A0">
              <w:rPr>
                <w:rFonts w:ascii="Times" w:hAnsi="Times" w:cs="Times"/>
                <w:color w:val="000000"/>
                <w:szCs w:val="22"/>
              </w:rPr>
              <w:t xml:space="preserve"> (30.0)</w:t>
            </w:r>
          </w:p>
        </w:tc>
        <w:tc>
          <w:tcPr>
            <w:tcW w:w="886" w:type="dxa"/>
            <w:gridSpan w:val="2"/>
            <w:tcBorders>
              <w:top w:val="nil"/>
              <w:left w:val="nil"/>
              <w:bottom w:val="nil"/>
              <w:right w:val="nil"/>
            </w:tcBorders>
            <w:shd w:val="clear" w:color="auto" w:fill="auto"/>
            <w:noWrap/>
            <w:vAlign w:val="bottom"/>
            <w:hideMark/>
          </w:tcPr>
          <w:p w14:paraId="7B664DF8" w14:textId="77777777" w:rsidR="00686C5C" w:rsidRPr="000C69A0" w:rsidRDefault="00686C5C" w:rsidP="00E51A65">
            <w:pPr>
              <w:spacing w:line="480" w:lineRule="auto"/>
              <w:jc w:val="center"/>
              <w:rPr>
                <w:rFonts w:ascii="Times" w:hAnsi="Times" w:cs="Times"/>
                <w:color w:val="000000"/>
                <w:szCs w:val="22"/>
              </w:rPr>
            </w:pPr>
            <w:r>
              <w:rPr>
                <w:rFonts w:ascii="Times" w:hAnsi="Times" w:cs="Times"/>
                <w:color w:val="000000"/>
                <w:szCs w:val="22"/>
              </w:rPr>
              <w:t>&lt;</w:t>
            </w:r>
            <w:r w:rsidRPr="000C69A0">
              <w:rPr>
                <w:rFonts w:ascii="Times" w:hAnsi="Times" w:cs="Times"/>
                <w:color w:val="000000"/>
                <w:szCs w:val="22"/>
              </w:rPr>
              <w:t>.00</w:t>
            </w:r>
            <w:r>
              <w:rPr>
                <w:rFonts w:ascii="Times" w:hAnsi="Times" w:cs="Times"/>
                <w:color w:val="000000"/>
                <w:szCs w:val="22"/>
              </w:rPr>
              <w:t>1</w:t>
            </w:r>
          </w:p>
        </w:tc>
      </w:tr>
      <w:tr w:rsidR="00686C5C" w:rsidRPr="00C63F25" w14:paraId="3745DB50" w14:textId="77777777" w:rsidTr="00686C5C">
        <w:trPr>
          <w:trHeight w:val="338"/>
        </w:trPr>
        <w:tc>
          <w:tcPr>
            <w:tcW w:w="4395" w:type="dxa"/>
            <w:tcBorders>
              <w:top w:val="nil"/>
              <w:left w:val="nil"/>
              <w:bottom w:val="nil"/>
              <w:right w:val="nil"/>
            </w:tcBorders>
            <w:shd w:val="clear" w:color="auto" w:fill="auto"/>
            <w:noWrap/>
            <w:vAlign w:val="bottom"/>
            <w:hideMark/>
          </w:tcPr>
          <w:p w14:paraId="49716689" w14:textId="77777777" w:rsidR="00686C5C" w:rsidRPr="00C63F25" w:rsidRDefault="00686C5C" w:rsidP="00E51A65">
            <w:pPr>
              <w:spacing w:line="480" w:lineRule="auto"/>
              <w:rPr>
                <w:rFonts w:ascii="Times" w:hAnsi="Times" w:cs="Times"/>
                <w:color w:val="000000"/>
                <w:szCs w:val="22"/>
              </w:rPr>
            </w:pPr>
            <w:proofErr w:type="spellStart"/>
            <w:r w:rsidRPr="00C63F25">
              <w:rPr>
                <w:rFonts w:ascii="Times" w:hAnsi="Times" w:cs="Times"/>
                <w:color w:val="000000"/>
                <w:szCs w:val="22"/>
              </w:rPr>
              <w:t>Answer</w:t>
            </w:r>
            <w:proofErr w:type="spellEnd"/>
            <w:r w:rsidRPr="00C63F25">
              <w:rPr>
                <w:rFonts w:ascii="Times" w:hAnsi="Times" w:cs="Times"/>
                <w:color w:val="000000"/>
                <w:szCs w:val="22"/>
              </w:rPr>
              <w:t xml:space="preserve"> </w:t>
            </w:r>
            <w:proofErr w:type="spellStart"/>
            <w:r w:rsidRPr="00C63F25">
              <w:rPr>
                <w:rFonts w:ascii="Times" w:hAnsi="Times" w:cs="Times"/>
                <w:color w:val="000000"/>
                <w:szCs w:val="22"/>
              </w:rPr>
              <w:t>to</w:t>
            </w:r>
            <w:proofErr w:type="spellEnd"/>
            <w:r w:rsidRPr="00C63F25">
              <w:rPr>
                <w:rFonts w:ascii="Times" w:hAnsi="Times" w:cs="Times"/>
                <w:color w:val="000000"/>
                <w:szCs w:val="22"/>
              </w:rPr>
              <w:t xml:space="preserve"> </w:t>
            </w:r>
            <w:proofErr w:type="spellStart"/>
            <w:r w:rsidRPr="00C63F25">
              <w:rPr>
                <w:rFonts w:ascii="Times" w:hAnsi="Times" w:cs="Times"/>
                <w:color w:val="000000"/>
                <w:szCs w:val="22"/>
              </w:rPr>
              <w:t>Quizzes</w:t>
            </w:r>
            <w:proofErr w:type="spellEnd"/>
            <w:r w:rsidRPr="00C63F25">
              <w:rPr>
                <w:rFonts w:ascii="Times" w:hAnsi="Times" w:cs="Times"/>
                <w:color w:val="000000"/>
                <w:szCs w:val="22"/>
              </w:rPr>
              <w:t xml:space="preserve"> </w:t>
            </w:r>
            <w:r w:rsidRPr="00C63F25">
              <w:rPr>
                <w:rFonts w:ascii="Times" w:hAnsi="Times" w:cs="Times"/>
                <w:color w:val="000000"/>
                <w:szCs w:val="22"/>
                <w:vertAlign w:val="superscript"/>
              </w:rPr>
              <w:t>cd</w:t>
            </w:r>
          </w:p>
        </w:tc>
        <w:tc>
          <w:tcPr>
            <w:tcW w:w="1559" w:type="dxa"/>
            <w:tcBorders>
              <w:top w:val="nil"/>
              <w:left w:val="nil"/>
              <w:bottom w:val="nil"/>
              <w:right w:val="nil"/>
            </w:tcBorders>
            <w:shd w:val="clear" w:color="auto" w:fill="auto"/>
            <w:noWrap/>
            <w:vAlign w:val="bottom"/>
            <w:hideMark/>
          </w:tcPr>
          <w:p w14:paraId="1E7767BE" w14:textId="77777777" w:rsidR="00686C5C" w:rsidRPr="000C69A0" w:rsidRDefault="00686C5C" w:rsidP="00E51A65">
            <w:pPr>
              <w:spacing w:line="480" w:lineRule="auto"/>
              <w:jc w:val="center"/>
              <w:rPr>
                <w:rFonts w:ascii="Times" w:hAnsi="Times" w:cs="Times"/>
                <w:color w:val="000000"/>
                <w:szCs w:val="22"/>
              </w:rPr>
            </w:pPr>
          </w:p>
        </w:tc>
        <w:tc>
          <w:tcPr>
            <w:tcW w:w="1588" w:type="dxa"/>
            <w:tcBorders>
              <w:top w:val="nil"/>
              <w:left w:val="nil"/>
              <w:bottom w:val="nil"/>
              <w:right w:val="nil"/>
            </w:tcBorders>
            <w:shd w:val="clear" w:color="auto" w:fill="auto"/>
            <w:noWrap/>
            <w:vAlign w:val="bottom"/>
            <w:hideMark/>
          </w:tcPr>
          <w:p w14:paraId="65D3B2EC" w14:textId="77777777" w:rsidR="00686C5C" w:rsidRPr="000C69A0" w:rsidRDefault="00686C5C" w:rsidP="00E51A65">
            <w:pPr>
              <w:spacing w:line="480" w:lineRule="auto"/>
              <w:jc w:val="center"/>
              <w:rPr>
                <w:szCs w:val="20"/>
              </w:rPr>
            </w:pPr>
          </w:p>
        </w:tc>
        <w:tc>
          <w:tcPr>
            <w:tcW w:w="1637" w:type="dxa"/>
            <w:tcBorders>
              <w:top w:val="nil"/>
              <w:left w:val="nil"/>
              <w:bottom w:val="nil"/>
              <w:right w:val="nil"/>
            </w:tcBorders>
            <w:shd w:val="clear" w:color="auto" w:fill="auto"/>
            <w:noWrap/>
            <w:vAlign w:val="bottom"/>
            <w:hideMark/>
          </w:tcPr>
          <w:p w14:paraId="0583EBD8" w14:textId="77777777" w:rsidR="00686C5C" w:rsidRPr="000C69A0" w:rsidRDefault="00686C5C" w:rsidP="00E51A65">
            <w:pPr>
              <w:spacing w:line="480" w:lineRule="auto"/>
              <w:jc w:val="center"/>
              <w:rPr>
                <w:szCs w:val="20"/>
              </w:rPr>
            </w:pPr>
          </w:p>
        </w:tc>
        <w:tc>
          <w:tcPr>
            <w:tcW w:w="886" w:type="dxa"/>
            <w:gridSpan w:val="2"/>
            <w:tcBorders>
              <w:top w:val="nil"/>
              <w:left w:val="nil"/>
              <w:bottom w:val="nil"/>
              <w:right w:val="nil"/>
            </w:tcBorders>
            <w:shd w:val="clear" w:color="auto" w:fill="auto"/>
            <w:noWrap/>
            <w:vAlign w:val="bottom"/>
            <w:hideMark/>
          </w:tcPr>
          <w:p w14:paraId="30FB645C" w14:textId="77777777" w:rsidR="00686C5C" w:rsidRPr="000C69A0" w:rsidRDefault="00686C5C" w:rsidP="00E51A65">
            <w:pPr>
              <w:spacing w:line="480" w:lineRule="auto"/>
              <w:jc w:val="center"/>
              <w:rPr>
                <w:szCs w:val="20"/>
              </w:rPr>
            </w:pPr>
          </w:p>
        </w:tc>
      </w:tr>
      <w:tr w:rsidR="00686C5C" w:rsidRPr="00C63F25" w14:paraId="70D97063" w14:textId="77777777" w:rsidTr="00686C5C">
        <w:trPr>
          <w:trHeight w:val="282"/>
        </w:trPr>
        <w:tc>
          <w:tcPr>
            <w:tcW w:w="4395" w:type="dxa"/>
            <w:tcBorders>
              <w:top w:val="nil"/>
              <w:left w:val="nil"/>
              <w:bottom w:val="nil"/>
              <w:right w:val="nil"/>
            </w:tcBorders>
            <w:shd w:val="clear" w:color="auto" w:fill="auto"/>
            <w:noWrap/>
            <w:vAlign w:val="bottom"/>
            <w:hideMark/>
          </w:tcPr>
          <w:p w14:paraId="0DFB6741" w14:textId="77777777" w:rsidR="00686C5C" w:rsidRPr="00C63F25" w:rsidRDefault="00686C5C" w:rsidP="00E51A65">
            <w:pPr>
              <w:spacing w:line="480" w:lineRule="auto"/>
              <w:ind w:firstLineChars="100" w:firstLine="240"/>
              <w:rPr>
                <w:rFonts w:ascii="Times" w:hAnsi="Times" w:cs="Times"/>
                <w:color w:val="000000"/>
                <w:szCs w:val="22"/>
              </w:rPr>
            </w:pPr>
            <w:r w:rsidRPr="00C63F25">
              <w:rPr>
                <w:rFonts w:ascii="Times" w:hAnsi="Times" w:cs="Times"/>
                <w:color w:val="000000"/>
                <w:szCs w:val="22"/>
              </w:rPr>
              <w:t xml:space="preserve">Quiz </w:t>
            </w:r>
            <w:proofErr w:type="spellStart"/>
            <w:r w:rsidRPr="00C63F25">
              <w:rPr>
                <w:rFonts w:ascii="Times" w:hAnsi="Times" w:cs="Times"/>
                <w:color w:val="000000"/>
                <w:szCs w:val="22"/>
              </w:rPr>
              <w:t>Costs</w:t>
            </w:r>
            <w:proofErr w:type="spellEnd"/>
            <w:r w:rsidRPr="00C63F25">
              <w:rPr>
                <w:rFonts w:ascii="Times" w:hAnsi="Times" w:cs="Times"/>
                <w:color w:val="000000"/>
                <w:szCs w:val="22"/>
              </w:rPr>
              <w:t xml:space="preserve"> (</w:t>
            </w:r>
            <w:proofErr w:type="spellStart"/>
            <w:r w:rsidRPr="00C63F25">
              <w:rPr>
                <w:rFonts w:ascii="Times" w:hAnsi="Times" w:cs="Times"/>
                <w:color w:val="000000"/>
                <w:szCs w:val="22"/>
              </w:rPr>
              <w:t>week</w:t>
            </w:r>
            <w:proofErr w:type="spellEnd"/>
            <w:r w:rsidRPr="00C63F25">
              <w:rPr>
                <w:rFonts w:ascii="Times" w:hAnsi="Times" w:cs="Times"/>
                <w:color w:val="000000"/>
                <w:szCs w:val="22"/>
              </w:rPr>
              <w:t xml:space="preserve"> 1)</w:t>
            </w:r>
          </w:p>
        </w:tc>
        <w:tc>
          <w:tcPr>
            <w:tcW w:w="1559" w:type="dxa"/>
            <w:tcBorders>
              <w:top w:val="nil"/>
              <w:left w:val="nil"/>
              <w:bottom w:val="nil"/>
              <w:right w:val="nil"/>
            </w:tcBorders>
            <w:shd w:val="clear" w:color="auto" w:fill="auto"/>
            <w:noWrap/>
            <w:vAlign w:val="bottom"/>
            <w:hideMark/>
          </w:tcPr>
          <w:p w14:paraId="00B4DE44" w14:textId="77777777" w:rsidR="00686C5C" w:rsidRPr="000C69A0" w:rsidRDefault="00686C5C" w:rsidP="00E51A65">
            <w:pPr>
              <w:spacing w:line="480" w:lineRule="auto"/>
              <w:jc w:val="center"/>
              <w:rPr>
                <w:rFonts w:ascii="Times" w:hAnsi="Times" w:cs="Times"/>
                <w:szCs w:val="22"/>
              </w:rPr>
            </w:pPr>
            <w:r w:rsidRPr="000C69A0">
              <w:rPr>
                <w:rFonts w:ascii="Times" w:hAnsi="Times" w:cs="Times"/>
                <w:szCs w:val="22"/>
              </w:rPr>
              <w:t>975 (68.8</w:t>
            </w:r>
            <w:r>
              <w:rPr>
                <w:rFonts w:ascii="Times" w:hAnsi="Times" w:cs="Times"/>
                <w:szCs w:val="22"/>
              </w:rPr>
              <w:t>%</w:t>
            </w:r>
            <w:r w:rsidRPr="000C69A0">
              <w:rPr>
                <w:rFonts w:ascii="Times" w:hAnsi="Times" w:cs="Times"/>
                <w:szCs w:val="22"/>
              </w:rPr>
              <w:t>)</w:t>
            </w:r>
          </w:p>
        </w:tc>
        <w:tc>
          <w:tcPr>
            <w:tcW w:w="1588" w:type="dxa"/>
            <w:tcBorders>
              <w:top w:val="nil"/>
              <w:left w:val="nil"/>
              <w:bottom w:val="nil"/>
              <w:right w:val="nil"/>
            </w:tcBorders>
            <w:shd w:val="clear" w:color="auto" w:fill="auto"/>
            <w:noWrap/>
            <w:vAlign w:val="bottom"/>
            <w:hideMark/>
          </w:tcPr>
          <w:p w14:paraId="35BF8C47" w14:textId="77777777" w:rsidR="00686C5C" w:rsidRPr="000C69A0" w:rsidRDefault="00686C5C" w:rsidP="00E51A65">
            <w:pPr>
              <w:spacing w:line="480" w:lineRule="auto"/>
              <w:jc w:val="center"/>
              <w:rPr>
                <w:rFonts w:ascii="Times" w:hAnsi="Times" w:cs="Times"/>
                <w:szCs w:val="22"/>
              </w:rPr>
            </w:pPr>
            <w:r w:rsidRPr="000C69A0">
              <w:rPr>
                <w:rFonts w:ascii="Times" w:hAnsi="Times" w:cs="Times"/>
                <w:szCs w:val="22"/>
              </w:rPr>
              <w:t>481 (67.6</w:t>
            </w:r>
            <w:r>
              <w:rPr>
                <w:rFonts w:ascii="Times" w:hAnsi="Times" w:cs="Times"/>
                <w:szCs w:val="22"/>
              </w:rPr>
              <w:t>%</w:t>
            </w:r>
            <w:r w:rsidRPr="000C69A0">
              <w:rPr>
                <w:rFonts w:ascii="Times" w:hAnsi="Times" w:cs="Times"/>
                <w:szCs w:val="22"/>
              </w:rPr>
              <w:t>)</w:t>
            </w:r>
          </w:p>
        </w:tc>
        <w:tc>
          <w:tcPr>
            <w:tcW w:w="1637" w:type="dxa"/>
            <w:tcBorders>
              <w:top w:val="nil"/>
              <w:left w:val="nil"/>
              <w:bottom w:val="nil"/>
              <w:right w:val="nil"/>
            </w:tcBorders>
            <w:shd w:val="clear" w:color="auto" w:fill="auto"/>
            <w:noWrap/>
            <w:vAlign w:val="bottom"/>
            <w:hideMark/>
          </w:tcPr>
          <w:p w14:paraId="107554C4" w14:textId="77777777" w:rsidR="00686C5C" w:rsidRPr="000C69A0" w:rsidRDefault="00686C5C" w:rsidP="00E51A65">
            <w:pPr>
              <w:spacing w:line="480" w:lineRule="auto"/>
              <w:jc w:val="center"/>
              <w:rPr>
                <w:rFonts w:ascii="Times" w:hAnsi="Times" w:cs="Times"/>
                <w:szCs w:val="22"/>
              </w:rPr>
            </w:pPr>
            <w:r w:rsidRPr="000C69A0">
              <w:rPr>
                <w:rFonts w:ascii="Times" w:hAnsi="Times" w:cs="Times"/>
                <w:szCs w:val="22"/>
              </w:rPr>
              <w:t>494 (70.0</w:t>
            </w:r>
            <w:r>
              <w:rPr>
                <w:rFonts w:ascii="Times" w:hAnsi="Times" w:cs="Times"/>
                <w:szCs w:val="22"/>
              </w:rPr>
              <w:t>%</w:t>
            </w:r>
            <w:r w:rsidRPr="000C69A0">
              <w:rPr>
                <w:rFonts w:ascii="Times" w:hAnsi="Times" w:cs="Times"/>
                <w:szCs w:val="22"/>
              </w:rPr>
              <w:t>)</w:t>
            </w:r>
          </w:p>
        </w:tc>
        <w:tc>
          <w:tcPr>
            <w:tcW w:w="886" w:type="dxa"/>
            <w:gridSpan w:val="2"/>
            <w:tcBorders>
              <w:top w:val="nil"/>
              <w:left w:val="nil"/>
              <w:bottom w:val="nil"/>
              <w:right w:val="nil"/>
            </w:tcBorders>
            <w:shd w:val="clear" w:color="auto" w:fill="auto"/>
            <w:noWrap/>
            <w:vAlign w:val="bottom"/>
            <w:hideMark/>
          </w:tcPr>
          <w:p w14:paraId="0041A166"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.33</w:t>
            </w:r>
          </w:p>
        </w:tc>
      </w:tr>
      <w:tr w:rsidR="00686C5C" w:rsidRPr="00C63F25" w14:paraId="38373A67" w14:textId="77777777" w:rsidTr="00686C5C">
        <w:trPr>
          <w:trHeight w:val="282"/>
        </w:trPr>
        <w:tc>
          <w:tcPr>
            <w:tcW w:w="4395" w:type="dxa"/>
            <w:tcBorders>
              <w:top w:val="nil"/>
              <w:left w:val="nil"/>
              <w:bottom w:val="nil"/>
              <w:right w:val="nil"/>
            </w:tcBorders>
            <w:shd w:val="clear" w:color="auto" w:fill="auto"/>
            <w:noWrap/>
            <w:vAlign w:val="bottom"/>
            <w:hideMark/>
          </w:tcPr>
          <w:p w14:paraId="60B977DB" w14:textId="77777777" w:rsidR="00686C5C" w:rsidRPr="00C63F25" w:rsidRDefault="00686C5C" w:rsidP="00E51A65">
            <w:pPr>
              <w:spacing w:line="480" w:lineRule="auto"/>
              <w:ind w:firstLineChars="100" w:firstLine="240"/>
              <w:rPr>
                <w:rFonts w:ascii="Times" w:hAnsi="Times" w:cs="Times"/>
                <w:color w:val="000000"/>
                <w:szCs w:val="22"/>
              </w:rPr>
            </w:pPr>
            <w:r w:rsidRPr="00C63F25">
              <w:rPr>
                <w:rFonts w:ascii="Times" w:hAnsi="Times" w:cs="Times"/>
                <w:color w:val="000000"/>
                <w:szCs w:val="22"/>
              </w:rPr>
              <w:t xml:space="preserve">Quiz </w:t>
            </w:r>
            <w:proofErr w:type="spellStart"/>
            <w:r w:rsidRPr="00C63F25">
              <w:rPr>
                <w:rFonts w:ascii="Times" w:hAnsi="Times" w:cs="Times"/>
                <w:color w:val="000000"/>
                <w:szCs w:val="22"/>
              </w:rPr>
              <w:t>Health</w:t>
            </w:r>
            <w:proofErr w:type="spellEnd"/>
            <w:r w:rsidRPr="00C63F25">
              <w:rPr>
                <w:rFonts w:ascii="Times" w:hAnsi="Times" w:cs="Times"/>
                <w:color w:val="000000"/>
                <w:szCs w:val="22"/>
              </w:rPr>
              <w:t xml:space="preserve"> (</w:t>
            </w:r>
            <w:proofErr w:type="spellStart"/>
            <w:r w:rsidRPr="00C63F25">
              <w:rPr>
                <w:rFonts w:ascii="Times" w:hAnsi="Times" w:cs="Times"/>
                <w:color w:val="000000"/>
                <w:szCs w:val="22"/>
              </w:rPr>
              <w:t>week</w:t>
            </w:r>
            <w:proofErr w:type="spellEnd"/>
            <w:r w:rsidRPr="00C63F25">
              <w:rPr>
                <w:rFonts w:ascii="Times" w:hAnsi="Times" w:cs="Times"/>
                <w:color w:val="000000"/>
                <w:szCs w:val="22"/>
              </w:rPr>
              <w:t xml:space="preserve"> 5)</w:t>
            </w:r>
          </w:p>
        </w:tc>
        <w:tc>
          <w:tcPr>
            <w:tcW w:w="1559" w:type="dxa"/>
            <w:tcBorders>
              <w:top w:val="nil"/>
              <w:left w:val="nil"/>
              <w:bottom w:val="nil"/>
              <w:right w:val="nil"/>
            </w:tcBorders>
            <w:shd w:val="clear" w:color="auto" w:fill="auto"/>
            <w:noWrap/>
            <w:vAlign w:val="bottom"/>
            <w:hideMark/>
          </w:tcPr>
          <w:p w14:paraId="4637F861"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898 (63.3</w:t>
            </w:r>
            <w:r>
              <w:rPr>
                <w:rFonts w:ascii="Times" w:hAnsi="Times" w:cs="Times"/>
                <w:color w:val="000000"/>
                <w:szCs w:val="22"/>
              </w:rPr>
              <w:t>%</w:t>
            </w:r>
            <w:r w:rsidRPr="000C69A0">
              <w:rPr>
                <w:rFonts w:ascii="Times" w:hAnsi="Times" w:cs="Times"/>
                <w:color w:val="000000"/>
                <w:szCs w:val="22"/>
              </w:rPr>
              <w:t>)</w:t>
            </w:r>
          </w:p>
        </w:tc>
        <w:tc>
          <w:tcPr>
            <w:tcW w:w="1588" w:type="dxa"/>
            <w:tcBorders>
              <w:top w:val="nil"/>
              <w:left w:val="nil"/>
              <w:bottom w:val="nil"/>
              <w:right w:val="nil"/>
            </w:tcBorders>
            <w:shd w:val="clear" w:color="auto" w:fill="auto"/>
            <w:noWrap/>
            <w:vAlign w:val="bottom"/>
            <w:hideMark/>
          </w:tcPr>
          <w:p w14:paraId="6C4089B0"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438 (61.5</w:t>
            </w:r>
            <w:r>
              <w:rPr>
                <w:rFonts w:ascii="Times" w:hAnsi="Times" w:cs="Times"/>
                <w:color w:val="000000"/>
                <w:szCs w:val="22"/>
              </w:rPr>
              <w:t>%</w:t>
            </w:r>
            <w:r w:rsidRPr="000C69A0">
              <w:rPr>
                <w:rFonts w:ascii="Times" w:hAnsi="Times" w:cs="Times"/>
                <w:color w:val="000000"/>
                <w:szCs w:val="22"/>
              </w:rPr>
              <w:t>)</w:t>
            </w:r>
          </w:p>
        </w:tc>
        <w:tc>
          <w:tcPr>
            <w:tcW w:w="1637" w:type="dxa"/>
            <w:tcBorders>
              <w:top w:val="nil"/>
              <w:left w:val="nil"/>
              <w:bottom w:val="nil"/>
              <w:right w:val="nil"/>
            </w:tcBorders>
            <w:shd w:val="clear" w:color="auto" w:fill="auto"/>
            <w:noWrap/>
            <w:vAlign w:val="bottom"/>
            <w:hideMark/>
          </w:tcPr>
          <w:p w14:paraId="02EF06B9"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460 (65.2</w:t>
            </w:r>
            <w:r>
              <w:rPr>
                <w:rFonts w:ascii="Times" w:hAnsi="Times" w:cs="Times"/>
                <w:color w:val="000000"/>
                <w:szCs w:val="22"/>
              </w:rPr>
              <w:t>%</w:t>
            </w:r>
            <w:r w:rsidRPr="000C69A0">
              <w:rPr>
                <w:rFonts w:ascii="Times" w:hAnsi="Times" w:cs="Times"/>
                <w:color w:val="000000"/>
                <w:szCs w:val="22"/>
              </w:rPr>
              <w:t>)</w:t>
            </w:r>
          </w:p>
        </w:tc>
        <w:tc>
          <w:tcPr>
            <w:tcW w:w="886" w:type="dxa"/>
            <w:gridSpan w:val="2"/>
            <w:tcBorders>
              <w:top w:val="nil"/>
              <w:left w:val="nil"/>
              <w:bottom w:val="nil"/>
              <w:right w:val="nil"/>
            </w:tcBorders>
            <w:shd w:val="clear" w:color="auto" w:fill="auto"/>
            <w:noWrap/>
            <w:vAlign w:val="bottom"/>
            <w:hideMark/>
          </w:tcPr>
          <w:p w14:paraId="26E19C55"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.16</w:t>
            </w:r>
          </w:p>
        </w:tc>
      </w:tr>
      <w:tr w:rsidR="00686C5C" w:rsidRPr="00C63F25" w14:paraId="4DA8F759" w14:textId="77777777" w:rsidTr="00686C5C">
        <w:trPr>
          <w:trHeight w:val="282"/>
        </w:trPr>
        <w:tc>
          <w:tcPr>
            <w:tcW w:w="4395" w:type="dxa"/>
            <w:tcBorders>
              <w:top w:val="nil"/>
              <w:left w:val="nil"/>
              <w:bottom w:val="nil"/>
              <w:right w:val="nil"/>
            </w:tcBorders>
            <w:shd w:val="clear" w:color="auto" w:fill="auto"/>
            <w:noWrap/>
            <w:vAlign w:val="bottom"/>
            <w:hideMark/>
          </w:tcPr>
          <w:p w14:paraId="39C863E0" w14:textId="77777777" w:rsidR="00686C5C" w:rsidRPr="00C63F25" w:rsidRDefault="00686C5C" w:rsidP="00E51A65">
            <w:pPr>
              <w:spacing w:line="480" w:lineRule="auto"/>
              <w:ind w:firstLineChars="100" w:firstLine="240"/>
              <w:rPr>
                <w:rFonts w:ascii="Times" w:hAnsi="Times" w:cs="Times"/>
                <w:color w:val="000000"/>
                <w:szCs w:val="22"/>
              </w:rPr>
            </w:pPr>
            <w:r w:rsidRPr="00C63F25">
              <w:rPr>
                <w:rFonts w:ascii="Times" w:hAnsi="Times" w:cs="Times"/>
                <w:color w:val="000000"/>
                <w:szCs w:val="22"/>
              </w:rPr>
              <w:t xml:space="preserve">Quiz </w:t>
            </w:r>
            <w:proofErr w:type="spellStart"/>
            <w:r w:rsidRPr="00C63F25">
              <w:rPr>
                <w:rFonts w:ascii="Times" w:hAnsi="Times" w:cs="Times"/>
                <w:color w:val="000000"/>
                <w:szCs w:val="22"/>
              </w:rPr>
              <w:t>Norms</w:t>
            </w:r>
            <w:proofErr w:type="spellEnd"/>
            <w:r w:rsidRPr="00C63F25">
              <w:rPr>
                <w:rFonts w:ascii="Times" w:hAnsi="Times" w:cs="Times"/>
                <w:color w:val="000000"/>
                <w:szCs w:val="22"/>
              </w:rPr>
              <w:t xml:space="preserve"> (</w:t>
            </w:r>
            <w:proofErr w:type="spellStart"/>
            <w:r w:rsidRPr="00C63F25">
              <w:rPr>
                <w:rFonts w:ascii="Times" w:hAnsi="Times" w:cs="Times"/>
                <w:color w:val="000000"/>
                <w:szCs w:val="22"/>
              </w:rPr>
              <w:t>week</w:t>
            </w:r>
            <w:proofErr w:type="spellEnd"/>
            <w:r w:rsidRPr="00C63F25">
              <w:rPr>
                <w:rFonts w:ascii="Times" w:hAnsi="Times" w:cs="Times"/>
                <w:color w:val="000000"/>
                <w:szCs w:val="22"/>
              </w:rPr>
              <w:t xml:space="preserve"> 9)</w:t>
            </w:r>
          </w:p>
        </w:tc>
        <w:tc>
          <w:tcPr>
            <w:tcW w:w="1559" w:type="dxa"/>
            <w:tcBorders>
              <w:top w:val="nil"/>
              <w:left w:val="nil"/>
              <w:bottom w:val="nil"/>
              <w:right w:val="nil"/>
            </w:tcBorders>
            <w:shd w:val="clear" w:color="auto" w:fill="auto"/>
            <w:noWrap/>
            <w:vAlign w:val="bottom"/>
            <w:hideMark/>
          </w:tcPr>
          <w:p w14:paraId="57AC55C6"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863 (60.9</w:t>
            </w:r>
            <w:r>
              <w:rPr>
                <w:rFonts w:ascii="Times" w:hAnsi="Times" w:cs="Times"/>
                <w:color w:val="000000"/>
                <w:szCs w:val="22"/>
              </w:rPr>
              <w:t>%</w:t>
            </w:r>
            <w:r w:rsidRPr="000C69A0">
              <w:rPr>
                <w:rFonts w:ascii="Times" w:hAnsi="Times" w:cs="Times"/>
                <w:color w:val="000000"/>
                <w:szCs w:val="22"/>
              </w:rPr>
              <w:t>)</w:t>
            </w:r>
          </w:p>
        </w:tc>
        <w:tc>
          <w:tcPr>
            <w:tcW w:w="1588" w:type="dxa"/>
            <w:tcBorders>
              <w:top w:val="nil"/>
              <w:left w:val="nil"/>
              <w:bottom w:val="nil"/>
              <w:right w:val="nil"/>
            </w:tcBorders>
            <w:shd w:val="clear" w:color="auto" w:fill="auto"/>
            <w:noWrap/>
            <w:vAlign w:val="bottom"/>
            <w:hideMark/>
          </w:tcPr>
          <w:p w14:paraId="09637F20"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429 (60.3</w:t>
            </w:r>
            <w:r>
              <w:rPr>
                <w:rFonts w:ascii="Times" w:hAnsi="Times" w:cs="Times"/>
                <w:color w:val="000000"/>
                <w:szCs w:val="22"/>
              </w:rPr>
              <w:t>%</w:t>
            </w:r>
            <w:r w:rsidRPr="000C69A0">
              <w:rPr>
                <w:rFonts w:ascii="Times" w:hAnsi="Times" w:cs="Times"/>
                <w:color w:val="000000"/>
                <w:szCs w:val="22"/>
              </w:rPr>
              <w:t>)</w:t>
            </w:r>
          </w:p>
        </w:tc>
        <w:tc>
          <w:tcPr>
            <w:tcW w:w="1637" w:type="dxa"/>
            <w:tcBorders>
              <w:top w:val="nil"/>
              <w:left w:val="nil"/>
              <w:bottom w:val="nil"/>
              <w:right w:val="nil"/>
            </w:tcBorders>
            <w:shd w:val="clear" w:color="auto" w:fill="auto"/>
            <w:noWrap/>
            <w:vAlign w:val="bottom"/>
            <w:hideMark/>
          </w:tcPr>
          <w:p w14:paraId="49109B35"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434 (61.5</w:t>
            </w:r>
            <w:r>
              <w:rPr>
                <w:rFonts w:ascii="Times" w:hAnsi="Times" w:cs="Times"/>
                <w:color w:val="000000"/>
                <w:szCs w:val="22"/>
              </w:rPr>
              <w:t>%</w:t>
            </w:r>
            <w:r w:rsidRPr="000C69A0">
              <w:rPr>
                <w:rFonts w:ascii="Times" w:hAnsi="Times" w:cs="Times"/>
                <w:color w:val="000000"/>
                <w:szCs w:val="22"/>
              </w:rPr>
              <w:t>)</w:t>
            </w:r>
          </w:p>
        </w:tc>
        <w:tc>
          <w:tcPr>
            <w:tcW w:w="886" w:type="dxa"/>
            <w:gridSpan w:val="2"/>
            <w:tcBorders>
              <w:top w:val="nil"/>
              <w:left w:val="nil"/>
              <w:bottom w:val="nil"/>
              <w:right w:val="nil"/>
            </w:tcBorders>
            <w:shd w:val="clear" w:color="auto" w:fill="auto"/>
            <w:noWrap/>
            <w:vAlign w:val="bottom"/>
            <w:hideMark/>
          </w:tcPr>
          <w:p w14:paraId="1D1F1D05"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.64</w:t>
            </w:r>
          </w:p>
        </w:tc>
      </w:tr>
      <w:tr w:rsidR="00686C5C" w:rsidRPr="00907407" w14:paraId="29F0F13F" w14:textId="77777777" w:rsidTr="00686C5C">
        <w:trPr>
          <w:trHeight w:val="338"/>
        </w:trPr>
        <w:tc>
          <w:tcPr>
            <w:tcW w:w="4395" w:type="dxa"/>
            <w:tcBorders>
              <w:top w:val="nil"/>
              <w:left w:val="nil"/>
              <w:bottom w:val="nil"/>
              <w:right w:val="nil"/>
            </w:tcBorders>
            <w:shd w:val="clear" w:color="auto" w:fill="auto"/>
            <w:noWrap/>
            <w:vAlign w:val="bottom"/>
            <w:hideMark/>
          </w:tcPr>
          <w:p w14:paraId="6625E374" w14:textId="6059433A" w:rsidR="00686C5C" w:rsidRPr="00C63F25" w:rsidRDefault="00686C5C" w:rsidP="00B13B07">
            <w:pPr>
              <w:spacing w:line="480" w:lineRule="auto"/>
              <w:rPr>
                <w:rFonts w:ascii="Times" w:hAnsi="Times" w:cs="Times"/>
                <w:color w:val="000000"/>
                <w:szCs w:val="22"/>
                <w:lang w:val="en-GB"/>
              </w:rPr>
            </w:pPr>
            <w:r w:rsidRPr="00C63F25">
              <w:rPr>
                <w:rFonts w:ascii="Times" w:hAnsi="Times" w:cs="Times"/>
                <w:color w:val="000000"/>
                <w:szCs w:val="22"/>
                <w:lang w:val="en-GB"/>
              </w:rPr>
              <w:t>Answer to HAPA</w:t>
            </w:r>
            <w:r w:rsidR="00B13B07">
              <w:rPr>
                <w:rFonts w:ascii="Times" w:hAnsi="Times" w:cs="Times"/>
                <w:color w:val="000000"/>
                <w:szCs w:val="22"/>
                <w:lang w:val="en-GB"/>
              </w:rPr>
              <w:t xml:space="preserve"> s</w:t>
            </w:r>
            <w:r w:rsidRPr="00C63F25">
              <w:rPr>
                <w:rFonts w:ascii="Times" w:hAnsi="Times" w:cs="Times"/>
                <w:color w:val="000000"/>
                <w:szCs w:val="22"/>
                <w:lang w:val="en-GB"/>
              </w:rPr>
              <w:t>tage</w:t>
            </w:r>
            <w:r w:rsidR="00B13B07">
              <w:rPr>
                <w:rFonts w:ascii="Times" w:hAnsi="Times" w:cs="Times"/>
                <w:color w:val="000000"/>
                <w:szCs w:val="22"/>
                <w:lang w:val="en-GB"/>
              </w:rPr>
              <w:t xml:space="preserve"> of change</w:t>
            </w:r>
            <w:r w:rsidRPr="00C63F25">
              <w:rPr>
                <w:rFonts w:ascii="Times" w:hAnsi="Times" w:cs="Times"/>
                <w:color w:val="000000"/>
                <w:szCs w:val="22"/>
                <w:lang w:val="en-GB"/>
              </w:rPr>
              <w:t xml:space="preserve"> </w:t>
            </w:r>
            <w:r>
              <w:rPr>
                <w:rFonts w:ascii="Times" w:hAnsi="Times" w:cs="Times"/>
                <w:color w:val="000000"/>
                <w:szCs w:val="22"/>
                <w:vertAlign w:val="superscript"/>
                <w:lang w:val="en-GB"/>
              </w:rPr>
              <w:t>cd</w:t>
            </w:r>
          </w:p>
        </w:tc>
        <w:tc>
          <w:tcPr>
            <w:tcW w:w="1559" w:type="dxa"/>
            <w:tcBorders>
              <w:top w:val="nil"/>
              <w:left w:val="nil"/>
              <w:bottom w:val="nil"/>
              <w:right w:val="nil"/>
            </w:tcBorders>
            <w:shd w:val="clear" w:color="auto" w:fill="auto"/>
            <w:noWrap/>
            <w:vAlign w:val="bottom"/>
            <w:hideMark/>
          </w:tcPr>
          <w:p w14:paraId="5693B5FA" w14:textId="77777777" w:rsidR="00686C5C" w:rsidRPr="000C69A0" w:rsidRDefault="00686C5C" w:rsidP="00E51A65">
            <w:pPr>
              <w:spacing w:line="480" w:lineRule="auto"/>
              <w:jc w:val="center"/>
              <w:rPr>
                <w:rFonts w:ascii="Times" w:hAnsi="Times" w:cs="Times"/>
                <w:color w:val="000000"/>
                <w:szCs w:val="22"/>
                <w:lang w:val="en-GB"/>
              </w:rPr>
            </w:pPr>
          </w:p>
        </w:tc>
        <w:tc>
          <w:tcPr>
            <w:tcW w:w="1588" w:type="dxa"/>
            <w:tcBorders>
              <w:top w:val="nil"/>
              <w:left w:val="nil"/>
              <w:bottom w:val="nil"/>
              <w:right w:val="nil"/>
            </w:tcBorders>
            <w:shd w:val="clear" w:color="auto" w:fill="auto"/>
            <w:noWrap/>
            <w:vAlign w:val="bottom"/>
            <w:hideMark/>
          </w:tcPr>
          <w:p w14:paraId="7BB913AE" w14:textId="77777777" w:rsidR="00686C5C" w:rsidRPr="000C69A0" w:rsidRDefault="00686C5C" w:rsidP="00E51A65">
            <w:pPr>
              <w:spacing w:line="480" w:lineRule="auto"/>
              <w:jc w:val="center"/>
              <w:rPr>
                <w:szCs w:val="20"/>
                <w:lang w:val="en-GB"/>
              </w:rPr>
            </w:pPr>
          </w:p>
        </w:tc>
        <w:tc>
          <w:tcPr>
            <w:tcW w:w="1637" w:type="dxa"/>
            <w:tcBorders>
              <w:top w:val="nil"/>
              <w:left w:val="nil"/>
              <w:bottom w:val="nil"/>
              <w:right w:val="nil"/>
            </w:tcBorders>
            <w:shd w:val="clear" w:color="auto" w:fill="auto"/>
            <w:noWrap/>
            <w:vAlign w:val="bottom"/>
            <w:hideMark/>
          </w:tcPr>
          <w:p w14:paraId="0634EE94" w14:textId="77777777" w:rsidR="00686C5C" w:rsidRPr="000C69A0" w:rsidRDefault="00686C5C" w:rsidP="00E51A65">
            <w:pPr>
              <w:spacing w:line="480" w:lineRule="auto"/>
              <w:jc w:val="center"/>
              <w:rPr>
                <w:szCs w:val="20"/>
                <w:lang w:val="en-GB"/>
              </w:rPr>
            </w:pPr>
          </w:p>
        </w:tc>
        <w:tc>
          <w:tcPr>
            <w:tcW w:w="886" w:type="dxa"/>
            <w:gridSpan w:val="2"/>
            <w:tcBorders>
              <w:top w:val="nil"/>
              <w:left w:val="nil"/>
              <w:bottom w:val="nil"/>
              <w:right w:val="nil"/>
            </w:tcBorders>
            <w:shd w:val="clear" w:color="auto" w:fill="auto"/>
            <w:noWrap/>
            <w:vAlign w:val="bottom"/>
            <w:hideMark/>
          </w:tcPr>
          <w:p w14:paraId="37B15AB0" w14:textId="77777777" w:rsidR="00686C5C" w:rsidRPr="000C69A0" w:rsidRDefault="00686C5C" w:rsidP="00E51A65">
            <w:pPr>
              <w:spacing w:line="480" w:lineRule="auto"/>
              <w:jc w:val="center"/>
              <w:rPr>
                <w:szCs w:val="20"/>
                <w:lang w:val="en-GB"/>
              </w:rPr>
            </w:pPr>
          </w:p>
        </w:tc>
      </w:tr>
      <w:tr w:rsidR="00686C5C" w:rsidRPr="00C63F25" w14:paraId="2F3989F5" w14:textId="77777777" w:rsidTr="00686C5C">
        <w:trPr>
          <w:trHeight w:val="282"/>
        </w:trPr>
        <w:tc>
          <w:tcPr>
            <w:tcW w:w="4395" w:type="dxa"/>
            <w:tcBorders>
              <w:top w:val="nil"/>
              <w:left w:val="nil"/>
              <w:bottom w:val="nil"/>
              <w:right w:val="nil"/>
            </w:tcBorders>
            <w:shd w:val="clear" w:color="auto" w:fill="auto"/>
            <w:noWrap/>
            <w:vAlign w:val="bottom"/>
            <w:hideMark/>
          </w:tcPr>
          <w:p w14:paraId="1B63D987" w14:textId="77777777" w:rsidR="00686C5C" w:rsidRPr="00C63F25" w:rsidRDefault="00686C5C" w:rsidP="00E51A65">
            <w:pPr>
              <w:spacing w:line="480" w:lineRule="auto"/>
              <w:ind w:firstLineChars="100" w:firstLine="240"/>
              <w:rPr>
                <w:rFonts w:ascii="Times" w:hAnsi="Times" w:cs="Times"/>
                <w:color w:val="000000"/>
                <w:szCs w:val="22"/>
              </w:rPr>
            </w:pPr>
            <w:r w:rsidRPr="00C63F25">
              <w:rPr>
                <w:rFonts w:ascii="Times" w:hAnsi="Times" w:cs="Times"/>
                <w:color w:val="000000"/>
                <w:szCs w:val="22"/>
              </w:rPr>
              <w:t>Stage 1 (</w:t>
            </w:r>
            <w:proofErr w:type="spellStart"/>
            <w:r w:rsidRPr="00C63F25">
              <w:rPr>
                <w:rFonts w:ascii="Times" w:hAnsi="Times" w:cs="Times"/>
                <w:color w:val="000000"/>
                <w:szCs w:val="22"/>
              </w:rPr>
              <w:t>week</w:t>
            </w:r>
            <w:proofErr w:type="spellEnd"/>
            <w:r w:rsidRPr="00C63F25">
              <w:rPr>
                <w:rFonts w:ascii="Times" w:hAnsi="Times" w:cs="Times"/>
                <w:color w:val="000000"/>
                <w:szCs w:val="22"/>
              </w:rPr>
              <w:t xml:space="preserve"> 2)</w:t>
            </w:r>
          </w:p>
        </w:tc>
        <w:tc>
          <w:tcPr>
            <w:tcW w:w="1559" w:type="dxa"/>
            <w:tcBorders>
              <w:top w:val="nil"/>
              <w:left w:val="nil"/>
              <w:bottom w:val="nil"/>
              <w:right w:val="nil"/>
            </w:tcBorders>
            <w:shd w:val="clear" w:color="auto" w:fill="auto"/>
            <w:noWrap/>
            <w:vAlign w:val="bottom"/>
            <w:hideMark/>
          </w:tcPr>
          <w:p w14:paraId="609CC923"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1206 (85.0</w:t>
            </w:r>
            <w:r>
              <w:rPr>
                <w:rFonts w:ascii="Times" w:hAnsi="Times" w:cs="Times"/>
                <w:color w:val="000000"/>
                <w:szCs w:val="22"/>
              </w:rPr>
              <w:t>%</w:t>
            </w:r>
            <w:r w:rsidRPr="000C69A0">
              <w:rPr>
                <w:rFonts w:ascii="Times" w:hAnsi="Times" w:cs="Times"/>
                <w:color w:val="000000"/>
                <w:szCs w:val="22"/>
              </w:rPr>
              <w:t>)</w:t>
            </w:r>
          </w:p>
        </w:tc>
        <w:tc>
          <w:tcPr>
            <w:tcW w:w="1588" w:type="dxa"/>
            <w:tcBorders>
              <w:top w:val="nil"/>
              <w:left w:val="nil"/>
              <w:bottom w:val="nil"/>
              <w:right w:val="nil"/>
            </w:tcBorders>
            <w:shd w:val="clear" w:color="auto" w:fill="auto"/>
            <w:noWrap/>
            <w:vAlign w:val="bottom"/>
            <w:hideMark/>
          </w:tcPr>
          <w:p w14:paraId="79DD2D49"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598 (83.9</w:t>
            </w:r>
            <w:r>
              <w:rPr>
                <w:rFonts w:ascii="Times" w:hAnsi="Times" w:cs="Times"/>
                <w:color w:val="000000"/>
                <w:szCs w:val="22"/>
              </w:rPr>
              <w:t>%</w:t>
            </w:r>
            <w:r w:rsidRPr="000C69A0">
              <w:rPr>
                <w:rFonts w:ascii="Times" w:hAnsi="Times" w:cs="Times"/>
                <w:color w:val="000000"/>
                <w:szCs w:val="22"/>
              </w:rPr>
              <w:t>)</w:t>
            </w:r>
          </w:p>
        </w:tc>
        <w:tc>
          <w:tcPr>
            <w:tcW w:w="1637" w:type="dxa"/>
            <w:tcBorders>
              <w:top w:val="nil"/>
              <w:left w:val="nil"/>
              <w:bottom w:val="nil"/>
              <w:right w:val="nil"/>
            </w:tcBorders>
            <w:shd w:val="clear" w:color="auto" w:fill="auto"/>
            <w:noWrap/>
            <w:vAlign w:val="bottom"/>
            <w:hideMark/>
          </w:tcPr>
          <w:p w14:paraId="351F471A"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608 (86.1</w:t>
            </w:r>
            <w:r>
              <w:rPr>
                <w:rFonts w:ascii="Times" w:hAnsi="Times" w:cs="Times"/>
                <w:color w:val="000000"/>
                <w:szCs w:val="22"/>
              </w:rPr>
              <w:t>%</w:t>
            </w:r>
            <w:r w:rsidRPr="000C69A0">
              <w:rPr>
                <w:rFonts w:ascii="Times" w:hAnsi="Times" w:cs="Times"/>
                <w:color w:val="000000"/>
                <w:szCs w:val="22"/>
              </w:rPr>
              <w:t>)</w:t>
            </w:r>
          </w:p>
        </w:tc>
        <w:tc>
          <w:tcPr>
            <w:tcW w:w="886" w:type="dxa"/>
            <w:gridSpan w:val="2"/>
            <w:tcBorders>
              <w:top w:val="nil"/>
              <w:left w:val="nil"/>
              <w:bottom w:val="nil"/>
              <w:right w:val="nil"/>
            </w:tcBorders>
            <w:shd w:val="clear" w:color="auto" w:fill="auto"/>
            <w:noWrap/>
            <w:vAlign w:val="bottom"/>
            <w:hideMark/>
          </w:tcPr>
          <w:p w14:paraId="0BF77469"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.26</w:t>
            </w:r>
          </w:p>
        </w:tc>
      </w:tr>
      <w:tr w:rsidR="00686C5C" w:rsidRPr="00C63F25" w14:paraId="7089CED8" w14:textId="77777777" w:rsidTr="00686C5C">
        <w:trPr>
          <w:trHeight w:val="282"/>
        </w:trPr>
        <w:tc>
          <w:tcPr>
            <w:tcW w:w="4395" w:type="dxa"/>
            <w:tcBorders>
              <w:top w:val="nil"/>
              <w:left w:val="nil"/>
              <w:bottom w:val="nil"/>
              <w:right w:val="nil"/>
            </w:tcBorders>
            <w:shd w:val="clear" w:color="auto" w:fill="auto"/>
            <w:noWrap/>
            <w:vAlign w:val="bottom"/>
            <w:hideMark/>
          </w:tcPr>
          <w:p w14:paraId="4D6E3D1E" w14:textId="77777777" w:rsidR="00686C5C" w:rsidRPr="00C63F25" w:rsidRDefault="00686C5C" w:rsidP="00E51A65">
            <w:pPr>
              <w:spacing w:line="480" w:lineRule="auto"/>
              <w:ind w:firstLineChars="100" w:firstLine="240"/>
              <w:rPr>
                <w:rFonts w:ascii="Times" w:hAnsi="Times" w:cs="Times"/>
                <w:color w:val="000000"/>
                <w:szCs w:val="22"/>
              </w:rPr>
            </w:pPr>
            <w:r w:rsidRPr="00C63F25">
              <w:rPr>
                <w:rFonts w:ascii="Times" w:hAnsi="Times" w:cs="Times"/>
                <w:color w:val="000000"/>
                <w:szCs w:val="22"/>
              </w:rPr>
              <w:t>Stage 2 (</w:t>
            </w:r>
            <w:proofErr w:type="spellStart"/>
            <w:r w:rsidRPr="00C63F25">
              <w:rPr>
                <w:rFonts w:ascii="Times" w:hAnsi="Times" w:cs="Times"/>
                <w:color w:val="000000"/>
                <w:szCs w:val="22"/>
              </w:rPr>
              <w:t>week</w:t>
            </w:r>
            <w:proofErr w:type="spellEnd"/>
            <w:r w:rsidRPr="00C63F25">
              <w:rPr>
                <w:rFonts w:ascii="Times" w:hAnsi="Times" w:cs="Times"/>
                <w:color w:val="000000"/>
                <w:szCs w:val="22"/>
              </w:rPr>
              <w:t xml:space="preserve"> 6)</w:t>
            </w:r>
          </w:p>
        </w:tc>
        <w:tc>
          <w:tcPr>
            <w:tcW w:w="1559" w:type="dxa"/>
            <w:tcBorders>
              <w:top w:val="nil"/>
              <w:left w:val="nil"/>
              <w:bottom w:val="nil"/>
              <w:right w:val="nil"/>
            </w:tcBorders>
            <w:shd w:val="clear" w:color="auto" w:fill="auto"/>
            <w:noWrap/>
            <w:vAlign w:val="bottom"/>
            <w:hideMark/>
          </w:tcPr>
          <w:p w14:paraId="192B7BD2"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975 (68.8</w:t>
            </w:r>
            <w:r>
              <w:rPr>
                <w:rFonts w:ascii="Times" w:hAnsi="Times" w:cs="Times"/>
                <w:color w:val="000000"/>
                <w:szCs w:val="22"/>
              </w:rPr>
              <w:t>%</w:t>
            </w:r>
            <w:r w:rsidRPr="000C69A0">
              <w:rPr>
                <w:rFonts w:ascii="Times" w:hAnsi="Times" w:cs="Times"/>
                <w:color w:val="000000"/>
                <w:szCs w:val="22"/>
              </w:rPr>
              <w:t>)</w:t>
            </w:r>
          </w:p>
        </w:tc>
        <w:tc>
          <w:tcPr>
            <w:tcW w:w="1588" w:type="dxa"/>
            <w:tcBorders>
              <w:top w:val="nil"/>
              <w:left w:val="nil"/>
              <w:bottom w:val="nil"/>
              <w:right w:val="nil"/>
            </w:tcBorders>
            <w:shd w:val="clear" w:color="auto" w:fill="auto"/>
            <w:noWrap/>
            <w:vAlign w:val="bottom"/>
            <w:hideMark/>
          </w:tcPr>
          <w:p w14:paraId="3439EB8D"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485 (68.7</w:t>
            </w:r>
            <w:r>
              <w:rPr>
                <w:rFonts w:ascii="Times" w:hAnsi="Times" w:cs="Times"/>
                <w:color w:val="000000"/>
                <w:szCs w:val="22"/>
              </w:rPr>
              <w:t>%</w:t>
            </w:r>
            <w:r w:rsidRPr="000C69A0">
              <w:rPr>
                <w:rFonts w:ascii="Times" w:hAnsi="Times" w:cs="Times"/>
                <w:color w:val="000000"/>
                <w:szCs w:val="22"/>
              </w:rPr>
              <w:t>)</w:t>
            </w:r>
          </w:p>
        </w:tc>
        <w:tc>
          <w:tcPr>
            <w:tcW w:w="1637" w:type="dxa"/>
            <w:tcBorders>
              <w:top w:val="nil"/>
              <w:left w:val="nil"/>
              <w:bottom w:val="nil"/>
              <w:right w:val="nil"/>
            </w:tcBorders>
            <w:shd w:val="clear" w:color="auto" w:fill="auto"/>
            <w:noWrap/>
            <w:vAlign w:val="bottom"/>
            <w:hideMark/>
          </w:tcPr>
          <w:p w14:paraId="2D0E45E8"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490 (68.8</w:t>
            </w:r>
            <w:r>
              <w:rPr>
                <w:rFonts w:ascii="Times" w:hAnsi="Times" w:cs="Times"/>
                <w:color w:val="000000"/>
                <w:szCs w:val="22"/>
              </w:rPr>
              <w:t>%</w:t>
            </w:r>
            <w:r w:rsidRPr="000C69A0">
              <w:rPr>
                <w:rFonts w:ascii="Times" w:hAnsi="Times" w:cs="Times"/>
                <w:color w:val="000000"/>
                <w:szCs w:val="22"/>
              </w:rPr>
              <w:t>)</w:t>
            </w:r>
          </w:p>
        </w:tc>
        <w:tc>
          <w:tcPr>
            <w:tcW w:w="886" w:type="dxa"/>
            <w:gridSpan w:val="2"/>
            <w:tcBorders>
              <w:top w:val="nil"/>
              <w:left w:val="nil"/>
              <w:bottom w:val="nil"/>
              <w:right w:val="nil"/>
            </w:tcBorders>
            <w:shd w:val="clear" w:color="auto" w:fill="auto"/>
            <w:noWrap/>
            <w:vAlign w:val="bottom"/>
            <w:hideMark/>
          </w:tcPr>
          <w:p w14:paraId="179CAC47"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.96</w:t>
            </w:r>
          </w:p>
        </w:tc>
      </w:tr>
      <w:tr w:rsidR="00686C5C" w:rsidRPr="00C63F25" w14:paraId="136110BE" w14:textId="77777777" w:rsidTr="00686C5C">
        <w:trPr>
          <w:trHeight w:val="282"/>
        </w:trPr>
        <w:tc>
          <w:tcPr>
            <w:tcW w:w="4395" w:type="dxa"/>
            <w:tcBorders>
              <w:top w:val="nil"/>
              <w:left w:val="nil"/>
              <w:bottom w:val="nil"/>
              <w:right w:val="nil"/>
            </w:tcBorders>
            <w:shd w:val="clear" w:color="auto" w:fill="auto"/>
            <w:noWrap/>
            <w:vAlign w:val="bottom"/>
            <w:hideMark/>
          </w:tcPr>
          <w:p w14:paraId="71D1375E" w14:textId="77777777" w:rsidR="00686C5C" w:rsidRPr="00C63F25" w:rsidRDefault="00686C5C" w:rsidP="00E51A65">
            <w:pPr>
              <w:spacing w:line="480" w:lineRule="auto"/>
              <w:ind w:firstLineChars="100" w:firstLine="240"/>
              <w:rPr>
                <w:rFonts w:ascii="Times" w:hAnsi="Times" w:cs="Times"/>
                <w:color w:val="000000"/>
                <w:szCs w:val="22"/>
              </w:rPr>
            </w:pPr>
            <w:r w:rsidRPr="00C63F25">
              <w:rPr>
                <w:rFonts w:ascii="Times" w:hAnsi="Times" w:cs="Times"/>
                <w:color w:val="000000"/>
                <w:szCs w:val="22"/>
              </w:rPr>
              <w:t>Stage 3 (</w:t>
            </w:r>
            <w:proofErr w:type="spellStart"/>
            <w:r w:rsidRPr="00C63F25">
              <w:rPr>
                <w:rFonts w:ascii="Times" w:hAnsi="Times" w:cs="Times"/>
                <w:color w:val="000000"/>
                <w:szCs w:val="22"/>
              </w:rPr>
              <w:t>week</w:t>
            </w:r>
            <w:proofErr w:type="spellEnd"/>
            <w:r w:rsidRPr="00C63F25">
              <w:rPr>
                <w:rFonts w:ascii="Times" w:hAnsi="Times" w:cs="Times"/>
                <w:color w:val="000000"/>
                <w:szCs w:val="22"/>
              </w:rPr>
              <w:t xml:space="preserve"> 10)</w:t>
            </w:r>
          </w:p>
        </w:tc>
        <w:tc>
          <w:tcPr>
            <w:tcW w:w="1559" w:type="dxa"/>
            <w:tcBorders>
              <w:top w:val="nil"/>
              <w:left w:val="nil"/>
              <w:bottom w:val="nil"/>
              <w:right w:val="nil"/>
            </w:tcBorders>
            <w:shd w:val="clear" w:color="auto" w:fill="auto"/>
            <w:noWrap/>
            <w:vAlign w:val="bottom"/>
            <w:hideMark/>
          </w:tcPr>
          <w:p w14:paraId="0245F794"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609 (42.9</w:t>
            </w:r>
            <w:r>
              <w:rPr>
                <w:rFonts w:ascii="Times" w:hAnsi="Times" w:cs="Times"/>
                <w:color w:val="000000"/>
                <w:szCs w:val="22"/>
              </w:rPr>
              <w:t>%</w:t>
            </w:r>
            <w:r w:rsidRPr="000C69A0">
              <w:rPr>
                <w:rFonts w:ascii="Times" w:hAnsi="Times" w:cs="Times"/>
                <w:color w:val="000000"/>
                <w:szCs w:val="22"/>
              </w:rPr>
              <w:t>)</w:t>
            </w:r>
          </w:p>
        </w:tc>
        <w:tc>
          <w:tcPr>
            <w:tcW w:w="1588" w:type="dxa"/>
            <w:tcBorders>
              <w:top w:val="nil"/>
              <w:left w:val="nil"/>
              <w:bottom w:val="nil"/>
              <w:right w:val="nil"/>
            </w:tcBorders>
            <w:shd w:val="clear" w:color="auto" w:fill="auto"/>
            <w:noWrap/>
            <w:vAlign w:val="bottom"/>
            <w:hideMark/>
          </w:tcPr>
          <w:p w14:paraId="5137A7EE"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295 (41.4</w:t>
            </w:r>
            <w:r>
              <w:rPr>
                <w:rFonts w:ascii="Times" w:hAnsi="Times" w:cs="Times"/>
                <w:color w:val="000000"/>
                <w:szCs w:val="22"/>
              </w:rPr>
              <w:t>%</w:t>
            </w:r>
            <w:r w:rsidRPr="000C69A0">
              <w:rPr>
                <w:rFonts w:ascii="Times" w:hAnsi="Times" w:cs="Times"/>
                <w:color w:val="000000"/>
                <w:szCs w:val="22"/>
              </w:rPr>
              <w:t>)</w:t>
            </w:r>
          </w:p>
        </w:tc>
        <w:tc>
          <w:tcPr>
            <w:tcW w:w="1637" w:type="dxa"/>
            <w:tcBorders>
              <w:top w:val="nil"/>
              <w:left w:val="nil"/>
              <w:bottom w:val="nil"/>
              <w:right w:val="nil"/>
            </w:tcBorders>
            <w:shd w:val="clear" w:color="auto" w:fill="auto"/>
            <w:noWrap/>
            <w:vAlign w:val="bottom"/>
            <w:hideMark/>
          </w:tcPr>
          <w:p w14:paraId="5F323405"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314 (44.5</w:t>
            </w:r>
            <w:r>
              <w:rPr>
                <w:rFonts w:ascii="Times" w:hAnsi="Times" w:cs="Times"/>
                <w:color w:val="000000"/>
                <w:szCs w:val="22"/>
              </w:rPr>
              <w:t>%</w:t>
            </w:r>
            <w:r w:rsidRPr="000C69A0">
              <w:rPr>
                <w:rFonts w:ascii="Times" w:hAnsi="Times" w:cs="Times"/>
                <w:color w:val="000000"/>
                <w:szCs w:val="22"/>
              </w:rPr>
              <w:t>)</w:t>
            </w:r>
          </w:p>
        </w:tc>
        <w:tc>
          <w:tcPr>
            <w:tcW w:w="886" w:type="dxa"/>
            <w:gridSpan w:val="2"/>
            <w:tcBorders>
              <w:top w:val="nil"/>
              <w:left w:val="nil"/>
              <w:bottom w:val="nil"/>
              <w:right w:val="nil"/>
            </w:tcBorders>
            <w:shd w:val="clear" w:color="auto" w:fill="auto"/>
            <w:noWrap/>
            <w:vAlign w:val="bottom"/>
            <w:hideMark/>
          </w:tcPr>
          <w:p w14:paraId="24029D81" w14:textId="77777777" w:rsidR="00686C5C" w:rsidRPr="000C69A0" w:rsidRDefault="00686C5C" w:rsidP="00E51A65">
            <w:pPr>
              <w:spacing w:line="480" w:lineRule="auto"/>
              <w:jc w:val="center"/>
              <w:rPr>
                <w:rFonts w:ascii="Times" w:hAnsi="Times" w:cs="Times"/>
                <w:color w:val="000000"/>
                <w:szCs w:val="22"/>
              </w:rPr>
            </w:pPr>
            <w:r w:rsidRPr="000C69A0">
              <w:rPr>
                <w:rFonts w:ascii="Times" w:hAnsi="Times" w:cs="Times"/>
                <w:color w:val="000000"/>
                <w:szCs w:val="22"/>
              </w:rPr>
              <w:t>.25</w:t>
            </w:r>
          </w:p>
        </w:tc>
      </w:tr>
      <w:tr w:rsidR="00686C5C" w:rsidRPr="00907407" w14:paraId="6BF16881" w14:textId="77777777" w:rsidTr="00686C5C">
        <w:trPr>
          <w:trHeight w:val="282"/>
        </w:trPr>
        <w:tc>
          <w:tcPr>
            <w:tcW w:w="4395" w:type="dxa"/>
            <w:tcBorders>
              <w:top w:val="nil"/>
              <w:left w:val="nil"/>
              <w:bottom w:val="nil"/>
              <w:right w:val="nil"/>
            </w:tcBorders>
            <w:shd w:val="clear" w:color="auto" w:fill="auto"/>
            <w:noWrap/>
          </w:tcPr>
          <w:p w14:paraId="0DCC0951" w14:textId="77777777" w:rsidR="00686C5C" w:rsidRPr="000C15A4" w:rsidRDefault="00686C5C" w:rsidP="00E51A65">
            <w:pPr>
              <w:spacing w:line="480" w:lineRule="auto"/>
              <w:rPr>
                <w:rFonts w:ascii="Times" w:hAnsi="Times" w:cs="Times"/>
                <w:color w:val="000000"/>
                <w:szCs w:val="22"/>
                <w:lang w:val="en-GB"/>
              </w:rPr>
            </w:pPr>
            <w:r w:rsidRPr="000C15A4">
              <w:rPr>
                <w:lang w:val="en-GB"/>
              </w:rPr>
              <w:t xml:space="preserve">Answer to smoking-related questions (%) </w:t>
            </w:r>
            <w:r w:rsidRPr="000C15A4">
              <w:rPr>
                <w:vertAlign w:val="superscript"/>
                <w:lang w:val="en-GB"/>
              </w:rPr>
              <w:t>cd</w:t>
            </w:r>
          </w:p>
        </w:tc>
        <w:tc>
          <w:tcPr>
            <w:tcW w:w="1559" w:type="dxa"/>
            <w:tcBorders>
              <w:top w:val="nil"/>
              <w:left w:val="nil"/>
              <w:bottom w:val="nil"/>
              <w:right w:val="nil"/>
            </w:tcBorders>
            <w:shd w:val="clear" w:color="auto" w:fill="auto"/>
            <w:noWrap/>
            <w:vAlign w:val="bottom"/>
          </w:tcPr>
          <w:p w14:paraId="678E160E" w14:textId="77777777" w:rsidR="00686C5C" w:rsidRPr="000C15A4" w:rsidRDefault="00686C5C" w:rsidP="00E51A65">
            <w:pPr>
              <w:spacing w:line="480" w:lineRule="auto"/>
              <w:jc w:val="center"/>
              <w:rPr>
                <w:rFonts w:ascii="Times" w:hAnsi="Times" w:cs="Times"/>
                <w:color w:val="000000"/>
                <w:szCs w:val="22"/>
                <w:lang w:val="en-GB"/>
              </w:rPr>
            </w:pPr>
          </w:p>
        </w:tc>
        <w:tc>
          <w:tcPr>
            <w:tcW w:w="1588" w:type="dxa"/>
            <w:tcBorders>
              <w:top w:val="nil"/>
              <w:left w:val="nil"/>
              <w:bottom w:val="nil"/>
              <w:right w:val="nil"/>
            </w:tcBorders>
            <w:shd w:val="clear" w:color="auto" w:fill="auto"/>
            <w:noWrap/>
            <w:vAlign w:val="bottom"/>
          </w:tcPr>
          <w:p w14:paraId="50F108AD" w14:textId="77777777" w:rsidR="00686C5C" w:rsidRPr="000C15A4" w:rsidRDefault="00686C5C" w:rsidP="00E51A65">
            <w:pPr>
              <w:spacing w:line="480" w:lineRule="auto"/>
              <w:jc w:val="center"/>
              <w:rPr>
                <w:rFonts w:ascii="Times" w:hAnsi="Times" w:cs="Times"/>
                <w:color w:val="000000"/>
                <w:szCs w:val="22"/>
                <w:lang w:val="en-GB"/>
              </w:rPr>
            </w:pPr>
          </w:p>
        </w:tc>
        <w:tc>
          <w:tcPr>
            <w:tcW w:w="1637" w:type="dxa"/>
            <w:tcBorders>
              <w:top w:val="nil"/>
              <w:left w:val="nil"/>
              <w:bottom w:val="nil"/>
              <w:right w:val="nil"/>
            </w:tcBorders>
            <w:shd w:val="clear" w:color="auto" w:fill="auto"/>
            <w:noWrap/>
            <w:vAlign w:val="bottom"/>
          </w:tcPr>
          <w:p w14:paraId="49E6BCC6" w14:textId="77777777" w:rsidR="00686C5C" w:rsidRPr="000C15A4" w:rsidRDefault="00686C5C" w:rsidP="00E51A65">
            <w:pPr>
              <w:spacing w:line="480" w:lineRule="auto"/>
              <w:jc w:val="center"/>
              <w:rPr>
                <w:rFonts w:ascii="Times" w:hAnsi="Times" w:cs="Times"/>
                <w:color w:val="000000"/>
                <w:szCs w:val="22"/>
                <w:lang w:val="en-GB"/>
              </w:rPr>
            </w:pPr>
          </w:p>
        </w:tc>
        <w:tc>
          <w:tcPr>
            <w:tcW w:w="886" w:type="dxa"/>
            <w:gridSpan w:val="2"/>
            <w:tcBorders>
              <w:top w:val="nil"/>
              <w:left w:val="nil"/>
              <w:bottom w:val="nil"/>
              <w:right w:val="nil"/>
            </w:tcBorders>
            <w:shd w:val="clear" w:color="auto" w:fill="auto"/>
            <w:noWrap/>
            <w:vAlign w:val="bottom"/>
          </w:tcPr>
          <w:p w14:paraId="33E4CF4C" w14:textId="77777777" w:rsidR="00686C5C" w:rsidRPr="000C15A4" w:rsidRDefault="00686C5C" w:rsidP="00E51A65">
            <w:pPr>
              <w:spacing w:line="480" w:lineRule="auto"/>
              <w:jc w:val="center"/>
              <w:rPr>
                <w:rFonts w:ascii="Times" w:hAnsi="Times" w:cs="Times"/>
                <w:color w:val="000000"/>
                <w:szCs w:val="22"/>
                <w:lang w:val="en-GB"/>
              </w:rPr>
            </w:pPr>
          </w:p>
        </w:tc>
      </w:tr>
      <w:tr w:rsidR="00686C5C" w:rsidRPr="003D75E1" w14:paraId="7AEBE31A" w14:textId="77777777" w:rsidTr="00686C5C">
        <w:trPr>
          <w:trHeight w:val="282"/>
        </w:trPr>
        <w:tc>
          <w:tcPr>
            <w:tcW w:w="4395" w:type="dxa"/>
            <w:tcBorders>
              <w:top w:val="nil"/>
              <w:left w:val="nil"/>
              <w:bottom w:val="nil"/>
              <w:right w:val="nil"/>
            </w:tcBorders>
            <w:shd w:val="clear" w:color="auto" w:fill="auto"/>
            <w:noWrap/>
          </w:tcPr>
          <w:p w14:paraId="27430B29" w14:textId="77777777" w:rsidR="00686C5C" w:rsidRPr="000C15A4" w:rsidRDefault="00686C5C" w:rsidP="00E51A65">
            <w:pPr>
              <w:spacing w:line="480" w:lineRule="auto"/>
              <w:ind w:firstLineChars="100" w:firstLine="240"/>
              <w:rPr>
                <w:rFonts w:ascii="Times" w:hAnsi="Times" w:cs="Times"/>
                <w:color w:val="000000"/>
                <w:szCs w:val="22"/>
                <w:lang w:val="en-GB"/>
              </w:rPr>
            </w:pPr>
            <w:r w:rsidRPr="000C15A4">
              <w:rPr>
                <w:lang w:val="en-GB"/>
              </w:rPr>
              <w:t>CPD/CPW or Coping strategy (week 3)</w:t>
            </w:r>
          </w:p>
        </w:tc>
        <w:tc>
          <w:tcPr>
            <w:tcW w:w="1559" w:type="dxa"/>
            <w:tcBorders>
              <w:top w:val="nil"/>
              <w:left w:val="nil"/>
              <w:bottom w:val="nil"/>
              <w:right w:val="nil"/>
            </w:tcBorders>
            <w:shd w:val="clear" w:color="auto" w:fill="auto"/>
            <w:noWrap/>
            <w:vAlign w:val="bottom"/>
          </w:tcPr>
          <w:p w14:paraId="520FE5C1" w14:textId="7AA25435" w:rsidR="00686C5C" w:rsidRPr="000C15A4" w:rsidRDefault="000729F5" w:rsidP="00E51A65">
            <w:pPr>
              <w:spacing w:line="480" w:lineRule="auto"/>
              <w:jc w:val="center"/>
              <w:rPr>
                <w:rFonts w:ascii="Times" w:hAnsi="Times" w:cs="Times"/>
                <w:color w:val="000000"/>
                <w:szCs w:val="22"/>
                <w:lang w:val="en-GB"/>
              </w:rPr>
            </w:pPr>
            <w:r>
              <w:rPr>
                <w:rFonts w:ascii="Times" w:hAnsi="Times" w:cs="Times"/>
                <w:color w:val="000000"/>
                <w:szCs w:val="22"/>
                <w:lang w:val="en-GB"/>
              </w:rPr>
              <w:t>992</w:t>
            </w:r>
            <w:r w:rsidR="00E6129F">
              <w:rPr>
                <w:rFonts w:ascii="Times" w:hAnsi="Times" w:cs="Times"/>
                <w:color w:val="000000"/>
                <w:szCs w:val="22"/>
                <w:lang w:val="en-GB"/>
              </w:rPr>
              <w:t xml:space="preserve"> (70.0</w:t>
            </w:r>
            <w:r w:rsidR="00686C5C">
              <w:rPr>
                <w:rFonts w:ascii="Times" w:hAnsi="Times" w:cs="Times"/>
                <w:color w:val="000000"/>
                <w:szCs w:val="22"/>
                <w:lang w:val="en-GB"/>
              </w:rPr>
              <w:t>%)</w:t>
            </w:r>
          </w:p>
        </w:tc>
        <w:tc>
          <w:tcPr>
            <w:tcW w:w="1588" w:type="dxa"/>
            <w:tcBorders>
              <w:top w:val="nil"/>
              <w:left w:val="nil"/>
              <w:bottom w:val="nil"/>
              <w:right w:val="nil"/>
            </w:tcBorders>
            <w:shd w:val="clear" w:color="auto" w:fill="auto"/>
            <w:noWrap/>
            <w:vAlign w:val="bottom"/>
          </w:tcPr>
          <w:p w14:paraId="46EE105A" w14:textId="3B9995C6" w:rsidR="00686C5C" w:rsidRPr="000C15A4" w:rsidRDefault="00980C41" w:rsidP="00980C41">
            <w:pPr>
              <w:spacing w:line="480" w:lineRule="auto"/>
              <w:jc w:val="center"/>
              <w:rPr>
                <w:rFonts w:ascii="Times" w:hAnsi="Times" w:cs="Times"/>
                <w:color w:val="000000"/>
                <w:szCs w:val="22"/>
                <w:lang w:val="en-GB"/>
              </w:rPr>
            </w:pPr>
            <w:r>
              <w:rPr>
                <w:rFonts w:ascii="Times" w:hAnsi="Times" w:cs="Times"/>
                <w:color w:val="000000"/>
                <w:szCs w:val="22"/>
                <w:lang w:val="en-GB"/>
              </w:rPr>
              <w:t>490</w:t>
            </w:r>
            <w:r w:rsidR="00686C5C">
              <w:rPr>
                <w:rFonts w:ascii="Times" w:hAnsi="Times" w:cs="Times"/>
                <w:color w:val="000000"/>
                <w:szCs w:val="22"/>
                <w:lang w:val="en-GB"/>
              </w:rPr>
              <w:t xml:space="preserve"> (</w:t>
            </w:r>
            <w:r>
              <w:rPr>
                <w:rFonts w:ascii="Times" w:hAnsi="Times" w:cs="Times"/>
                <w:color w:val="000000"/>
                <w:szCs w:val="22"/>
                <w:lang w:val="en-GB"/>
              </w:rPr>
              <w:t>68.8</w:t>
            </w:r>
            <w:r w:rsidR="00686C5C">
              <w:rPr>
                <w:rFonts w:ascii="Times" w:hAnsi="Times" w:cs="Times"/>
                <w:color w:val="000000"/>
                <w:szCs w:val="22"/>
                <w:lang w:val="en-GB"/>
              </w:rPr>
              <w:t>%)</w:t>
            </w:r>
          </w:p>
        </w:tc>
        <w:tc>
          <w:tcPr>
            <w:tcW w:w="1637" w:type="dxa"/>
            <w:tcBorders>
              <w:top w:val="nil"/>
              <w:left w:val="nil"/>
              <w:bottom w:val="nil"/>
              <w:right w:val="nil"/>
            </w:tcBorders>
            <w:shd w:val="clear" w:color="auto" w:fill="auto"/>
            <w:noWrap/>
            <w:vAlign w:val="bottom"/>
          </w:tcPr>
          <w:p w14:paraId="35F63479" w14:textId="1F8AAC6D" w:rsidR="00686C5C" w:rsidRPr="000C15A4" w:rsidRDefault="00980C41" w:rsidP="00E51A65">
            <w:pPr>
              <w:spacing w:line="480" w:lineRule="auto"/>
              <w:jc w:val="center"/>
              <w:rPr>
                <w:rFonts w:ascii="Times" w:hAnsi="Times" w:cs="Times"/>
                <w:color w:val="000000"/>
                <w:szCs w:val="22"/>
                <w:lang w:val="en-GB"/>
              </w:rPr>
            </w:pPr>
            <w:r>
              <w:rPr>
                <w:rFonts w:ascii="Times" w:hAnsi="Times" w:cs="Times"/>
                <w:color w:val="000000"/>
                <w:szCs w:val="22"/>
                <w:lang w:val="en-GB"/>
              </w:rPr>
              <w:t>502 (71.1</w:t>
            </w:r>
            <w:r w:rsidR="00686C5C">
              <w:rPr>
                <w:rFonts w:ascii="Times" w:hAnsi="Times" w:cs="Times"/>
                <w:color w:val="000000"/>
                <w:szCs w:val="22"/>
                <w:lang w:val="en-GB"/>
              </w:rPr>
              <w:t>%)</w:t>
            </w:r>
          </w:p>
        </w:tc>
        <w:tc>
          <w:tcPr>
            <w:tcW w:w="886" w:type="dxa"/>
            <w:gridSpan w:val="2"/>
            <w:tcBorders>
              <w:top w:val="nil"/>
              <w:left w:val="nil"/>
              <w:bottom w:val="nil"/>
              <w:right w:val="nil"/>
            </w:tcBorders>
            <w:shd w:val="clear" w:color="auto" w:fill="auto"/>
            <w:noWrap/>
            <w:vAlign w:val="bottom"/>
          </w:tcPr>
          <w:p w14:paraId="4147CF63" w14:textId="3FE57803" w:rsidR="00686C5C" w:rsidRPr="000C15A4" w:rsidRDefault="00980C41" w:rsidP="00E51A65">
            <w:pPr>
              <w:spacing w:line="480" w:lineRule="auto"/>
              <w:jc w:val="center"/>
              <w:rPr>
                <w:rFonts w:ascii="Times" w:hAnsi="Times" w:cs="Times"/>
                <w:color w:val="000000"/>
                <w:szCs w:val="22"/>
                <w:lang w:val="en-GB"/>
              </w:rPr>
            </w:pPr>
            <w:r>
              <w:rPr>
                <w:rFonts w:ascii="Times" w:hAnsi="Times" w:cs="Times"/>
                <w:color w:val="000000"/>
                <w:szCs w:val="22"/>
                <w:lang w:val="en-GB"/>
              </w:rPr>
              <w:t>.35</w:t>
            </w:r>
          </w:p>
        </w:tc>
      </w:tr>
      <w:tr w:rsidR="00686C5C" w:rsidRPr="003D75E1" w14:paraId="284B11A7" w14:textId="77777777" w:rsidTr="00686C5C">
        <w:trPr>
          <w:trHeight w:val="282"/>
        </w:trPr>
        <w:tc>
          <w:tcPr>
            <w:tcW w:w="4395" w:type="dxa"/>
            <w:tcBorders>
              <w:top w:val="nil"/>
              <w:left w:val="nil"/>
              <w:bottom w:val="nil"/>
              <w:right w:val="nil"/>
            </w:tcBorders>
            <w:shd w:val="clear" w:color="auto" w:fill="auto"/>
            <w:noWrap/>
          </w:tcPr>
          <w:p w14:paraId="467449FE" w14:textId="77777777" w:rsidR="00686C5C" w:rsidRPr="000C15A4" w:rsidRDefault="00686C5C" w:rsidP="00E51A65">
            <w:pPr>
              <w:spacing w:line="480" w:lineRule="auto"/>
              <w:ind w:firstLineChars="100" w:firstLine="240"/>
              <w:rPr>
                <w:rFonts w:ascii="Times" w:hAnsi="Times" w:cs="Times"/>
                <w:color w:val="000000"/>
                <w:szCs w:val="22"/>
                <w:lang w:val="en-GB"/>
              </w:rPr>
            </w:pPr>
            <w:r w:rsidRPr="000C15A4">
              <w:rPr>
                <w:lang w:val="en-GB"/>
              </w:rPr>
              <w:t>CPD/CPW or Coping strategy (week 7)</w:t>
            </w:r>
          </w:p>
        </w:tc>
        <w:tc>
          <w:tcPr>
            <w:tcW w:w="1559" w:type="dxa"/>
            <w:tcBorders>
              <w:top w:val="nil"/>
              <w:left w:val="nil"/>
              <w:bottom w:val="nil"/>
              <w:right w:val="nil"/>
            </w:tcBorders>
            <w:shd w:val="clear" w:color="auto" w:fill="auto"/>
            <w:noWrap/>
            <w:vAlign w:val="bottom"/>
          </w:tcPr>
          <w:p w14:paraId="76475E53" w14:textId="3CB19EA0" w:rsidR="00686C5C" w:rsidRPr="000C15A4" w:rsidRDefault="000729F5" w:rsidP="00E6129F">
            <w:pPr>
              <w:spacing w:line="480" w:lineRule="auto"/>
              <w:jc w:val="center"/>
              <w:rPr>
                <w:rFonts w:ascii="Times" w:hAnsi="Times" w:cs="Times"/>
                <w:color w:val="000000"/>
                <w:szCs w:val="22"/>
                <w:lang w:val="en-GB"/>
              </w:rPr>
            </w:pPr>
            <w:r>
              <w:rPr>
                <w:rFonts w:ascii="Times" w:hAnsi="Times" w:cs="Times"/>
                <w:color w:val="000000"/>
                <w:szCs w:val="22"/>
                <w:lang w:val="en-GB"/>
              </w:rPr>
              <w:t>876</w:t>
            </w:r>
            <w:r w:rsidR="00686C5C">
              <w:rPr>
                <w:rFonts w:ascii="Times" w:hAnsi="Times" w:cs="Times"/>
                <w:color w:val="000000"/>
                <w:szCs w:val="22"/>
                <w:lang w:val="en-GB"/>
              </w:rPr>
              <w:t xml:space="preserve"> (</w:t>
            </w:r>
            <w:r w:rsidR="00E6129F">
              <w:rPr>
                <w:rFonts w:ascii="Times" w:hAnsi="Times" w:cs="Times"/>
                <w:color w:val="000000"/>
                <w:szCs w:val="22"/>
                <w:lang w:val="en-GB"/>
              </w:rPr>
              <w:t>61.8</w:t>
            </w:r>
            <w:r w:rsidR="00686C5C">
              <w:rPr>
                <w:rFonts w:ascii="Times" w:hAnsi="Times" w:cs="Times"/>
                <w:color w:val="000000"/>
                <w:szCs w:val="22"/>
                <w:lang w:val="en-GB"/>
              </w:rPr>
              <w:t>%)</w:t>
            </w:r>
          </w:p>
        </w:tc>
        <w:tc>
          <w:tcPr>
            <w:tcW w:w="1588" w:type="dxa"/>
            <w:tcBorders>
              <w:top w:val="nil"/>
              <w:left w:val="nil"/>
              <w:bottom w:val="nil"/>
              <w:right w:val="nil"/>
            </w:tcBorders>
            <w:shd w:val="clear" w:color="auto" w:fill="auto"/>
            <w:noWrap/>
            <w:vAlign w:val="bottom"/>
          </w:tcPr>
          <w:p w14:paraId="2AFA9A2D" w14:textId="07AB5AB0" w:rsidR="00686C5C" w:rsidRPr="000C15A4" w:rsidRDefault="000729F5" w:rsidP="000729F5">
            <w:pPr>
              <w:spacing w:line="480" w:lineRule="auto"/>
              <w:jc w:val="center"/>
              <w:rPr>
                <w:rFonts w:ascii="Times" w:hAnsi="Times" w:cs="Times"/>
                <w:color w:val="000000"/>
                <w:szCs w:val="22"/>
                <w:lang w:val="en-GB"/>
              </w:rPr>
            </w:pPr>
            <w:r>
              <w:rPr>
                <w:rFonts w:ascii="Times" w:hAnsi="Times" w:cs="Times"/>
                <w:color w:val="000000"/>
                <w:szCs w:val="22"/>
                <w:lang w:val="en-GB"/>
              </w:rPr>
              <w:t>444</w:t>
            </w:r>
            <w:r w:rsidR="00686C5C">
              <w:rPr>
                <w:rFonts w:ascii="Times" w:hAnsi="Times" w:cs="Times"/>
                <w:color w:val="000000"/>
                <w:szCs w:val="22"/>
                <w:lang w:val="en-GB"/>
              </w:rPr>
              <w:t xml:space="preserve"> (</w:t>
            </w:r>
            <w:r>
              <w:rPr>
                <w:rFonts w:ascii="Times" w:hAnsi="Times" w:cs="Times"/>
                <w:color w:val="000000"/>
                <w:szCs w:val="22"/>
                <w:lang w:val="en-GB"/>
              </w:rPr>
              <w:t>62.4</w:t>
            </w:r>
            <w:r w:rsidR="00686C5C">
              <w:rPr>
                <w:rFonts w:ascii="Times" w:hAnsi="Times" w:cs="Times"/>
                <w:color w:val="000000"/>
                <w:szCs w:val="22"/>
                <w:lang w:val="en-GB"/>
              </w:rPr>
              <w:t>%)</w:t>
            </w:r>
          </w:p>
        </w:tc>
        <w:tc>
          <w:tcPr>
            <w:tcW w:w="1637" w:type="dxa"/>
            <w:tcBorders>
              <w:top w:val="nil"/>
              <w:left w:val="nil"/>
              <w:bottom w:val="nil"/>
              <w:right w:val="nil"/>
            </w:tcBorders>
            <w:shd w:val="clear" w:color="auto" w:fill="auto"/>
            <w:noWrap/>
            <w:vAlign w:val="bottom"/>
          </w:tcPr>
          <w:p w14:paraId="6AF98C48" w14:textId="6814B4BD" w:rsidR="00686C5C" w:rsidRPr="000C15A4" w:rsidRDefault="000729F5" w:rsidP="000729F5">
            <w:pPr>
              <w:spacing w:line="480" w:lineRule="auto"/>
              <w:jc w:val="center"/>
              <w:rPr>
                <w:rFonts w:ascii="Times" w:hAnsi="Times" w:cs="Times"/>
                <w:color w:val="000000"/>
                <w:szCs w:val="22"/>
                <w:lang w:val="en-GB"/>
              </w:rPr>
            </w:pPr>
            <w:r>
              <w:rPr>
                <w:rFonts w:ascii="Times" w:hAnsi="Times" w:cs="Times"/>
                <w:color w:val="000000"/>
                <w:szCs w:val="22"/>
                <w:lang w:val="en-GB"/>
              </w:rPr>
              <w:t>432</w:t>
            </w:r>
            <w:r w:rsidR="00686C5C">
              <w:rPr>
                <w:rFonts w:ascii="Times" w:hAnsi="Times" w:cs="Times"/>
                <w:color w:val="000000"/>
                <w:szCs w:val="22"/>
                <w:lang w:val="en-GB"/>
              </w:rPr>
              <w:t xml:space="preserve"> (</w:t>
            </w:r>
            <w:r>
              <w:rPr>
                <w:rFonts w:ascii="Times" w:hAnsi="Times" w:cs="Times"/>
                <w:color w:val="000000"/>
                <w:szCs w:val="22"/>
                <w:lang w:val="en-GB"/>
              </w:rPr>
              <w:t>61.2</w:t>
            </w:r>
            <w:r w:rsidR="00686C5C">
              <w:rPr>
                <w:rFonts w:ascii="Times" w:hAnsi="Times" w:cs="Times"/>
                <w:color w:val="000000"/>
                <w:szCs w:val="22"/>
                <w:lang w:val="en-GB"/>
              </w:rPr>
              <w:t>%)</w:t>
            </w:r>
          </w:p>
        </w:tc>
        <w:tc>
          <w:tcPr>
            <w:tcW w:w="886" w:type="dxa"/>
            <w:gridSpan w:val="2"/>
            <w:tcBorders>
              <w:top w:val="nil"/>
              <w:left w:val="nil"/>
              <w:bottom w:val="nil"/>
              <w:right w:val="nil"/>
            </w:tcBorders>
            <w:shd w:val="clear" w:color="auto" w:fill="auto"/>
            <w:noWrap/>
            <w:vAlign w:val="bottom"/>
          </w:tcPr>
          <w:p w14:paraId="0287A17E" w14:textId="29C71781" w:rsidR="00686C5C" w:rsidRPr="000C15A4" w:rsidRDefault="00686C5C" w:rsidP="00E51A65">
            <w:pPr>
              <w:spacing w:line="480" w:lineRule="auto"/>
              <w:jc w:val="center"/>
              <w:rPr>
                <w:rFonts w:ascii="Times" w:hAnsi="Times" w:cs="Times"/>
                <w:color w:val="000000"/>
                <w:szCs w:val="22"/>
                <w:lang w:val="en-GB"/>
              </w:rPr>
            </w:pPr>
            <w:r>
              <w:rPr>
                <w:rFonts w:ascii="Times" w:hAnsi="Times" w:cs="Times"/>
                <w:color w:val="000000"/>
                <w:szCs w:val="22"/>
                <w:lang w:val="en-GB"/>
              </w:rPr>
              <w:t>.</w:t>
            </w:r>
            <w:r w:rsidR="000729F5">
              <w:rPr>
                <w:rFonts w:ascii="Times" w:hAnsi="Times" w:cs="Times"/>
                <w:color w:val="000000"/>
                <w:szCs w:val="22"/>
                <w:lang w:val="en-GB"/>
              </w:rPr>
              <w:t>65</w:t>
            </w:r>
          </w:p>
        </w:tc>
      </w:tr>
      <w:tr w:rsidR="00686C5C" w:rsidRPr="003D75E1" w14:paraId="2F78158B" w14:textId="77777777" w:rsidTr="00686C5C">
        <w:trPr>
          <w:trHeight w:val="282"/>
        </w:trPr>
        <w:tc>
          <w:tcPr>
            <w:tcW w:w="4395" w:type="dxa"/>
            <w:tcBorders>
              <w:top w:val="nil"/>
              <w:left w:val="nil"/>
              <w:bottom w:val="nil"/>
              <w:right w:val="nil"/>
            </w:tcBorders>
            <w:shd w:val="clear" w:color="auto" w:fill="auto"/>
            <w:noWrap/>
          </w:tcPr>
          <w:p w14:paraId="62F0F3F5" w14:textId="77777777" w:rsidR="00686C5C" w:rsidRPr="000C15A4" w:rsidRDefault="00686C5C" w:rsidP="00E51A65">
            <w:pPr>
              <w:spacing w:line="480" w:lineRule="auto"/>
              <w:ind w:firstLineChars="100" w:firstLine="240"/>
              <w:rPr>
                <w:rFonts w:ascii="Times" w:hAnsi="Times" w:cs="Times"/>
                <w:color w:val="000000"/>
                <w:szCs w:val="22"/>
                <w:lang w:val="en-GB"/>
              </w:rPr>
            </w:pPr>
            <w:r w:rsidRPr="000C15A4">
              <w:rPr>
                <w:lang w:val="en-GB"/>
              </w:rPr>
              <w:lastRenderedPageBreak/>
              <w:t>CPD/CPW or Coping strategy (week 11)</w:t>
            </w:r>
          </w:p>
        </w:tc>
        <w:tc>
          <w:tcPr>
            <w:tcW w:w="1559" w:type="dxa"/>
            <w:tcBorders>
              <w:top w:val="nil"/>
              <w:left w:val="nil"/>
              <w:bottom w:val="nil"/>
              <w:right w:val="nil"/>
            </w:tcBorders>
            <w:shd w:val="clear" w:color="auto" w:fill="auto"/>
            <w:noWrap/>
            <w:vAlign w:val="bottom"/>
          </w:tcPr>
          <w:p w14:paraId="50CBE900" w14:textId="4ADCE61B" w:rsidR="00686C5C" w:rsidRPr="000C15A4" w:rsidRDefault="00342420" w:rsidP="00E6129F">
            <w:pPr>
              <w:spacing w:line="480" w:lineRule="auto"/>
              <w:jc w:val="center"/>
              <w:rPr>
                <w:rFonts w:ascii="Times" w:hAnsi="Times" w:cs="Times"/>
                <w:color w:val="000000"/>
                <w:szCs w:val="22"/>
                <w:lang w:val="en-GB"/>
              </w:rPr>
            </w:pPr>
            <w:r>
              <w:rPr>
                <w:rFonts w:ascii="Times" w:hAnsi="Times" w:cs="Times"/>
                <w:color w:val="000000"/>
                <w:szCs w:val="22"/>
                <w:lang w:val="en-GB"/>
              </w:rPr>
              <w:t>749</w:t>
            </w:r>
            <w:r w:rsidR="00686C5C">
              <w:rPr>
                <w:rFonts w:ascii="Times" w:hAnsi="Times" w:cs="Times"/>
                <w:color w:val="000000"/>
                <w:szCs w:val="22"/>
                <w:lang w:val="en-GB"/>
              </w:rPr>
              <w:t xml:space="preserve"> (</w:t>
            </w:r>
            <w:r w:rsidR="00E6129F">
              <w:rPr>
                <w:rFonts w:ascii="Times" w:hAnsi="Times" w:cs="Times"/>
                <w:color w:val="000000"/>
                <w:szCs w:val="22"/>
                <w:lang w:val="en-GB"/>
              </w:rPr>
              <w:t>52.8</w:t>
            </w:r>
            <w:r w:rsidR="00686C5C">
              <w:rPr>
                <w:rFonts w:ascii="Times" w:hAnsi="Times" w:cs="Times"/>
                <w:color w:val="000000"/>
                <w:szCs w:val="22"/>
                <w:lang w:val="en-GB"/>
              </w:rPr>
              <w:t>%)</w:t>
            </w:r>
          </w:p>
        </w:tc>
        <w:tc>
          <w:tcPr>
            <w:tcW w:w="1588" w:type="dxa"/>
            <w:tcBorders>
              <w:top w:val="nil"/>
              <w:left w:val="nil"/>
              <w:bottom w:val="nil"/>
              <w:right w:val="nil"/>
            </w:tcBorders>
            <w:shd w:val="clear" w:color="auto" w:fill="auto"/>
            <w:noWrap/>
            <w:vAlign w:val="bottom"/>
          </w:tcPr>
          <w:p w14:paraId="39B68D87" w14:textId="3CCF0B00" w:rsidR="00686C5C" w:rsidRPr="000C15A4" w:rsidRDefault="00342420" w:rsidP="00342420">
            <w:pPr>
              <w:spacing w:line="480" w:lineRule="auto"/>
              <w:jc w:val="center"/>
              <w:rPr>
                <w:rFonts w:ascii="Times" w:hAnsi="Times" w:cs="Times"/>
                <w:color w:val="000000"/>
                <w:szCs w:val="22"/>
                <w:lang w:val="en-GB"/>
              </w:rPr>
            </w:pPr>
            <w:r>
              <w:rPr>
                <w:rFonts w:ascii="Times" w:hAnsi="Times" w:cs="Times"/>
                <w:color w:val="000000"/>
                <w:szCs w:val="22"/>
                <w:lang w:val="en-GB"/>
              </w:rPr>
              <w:t>361</w:t>
            </w:r>
            <w:r w:rsidR="00686C5C">
              <w:rPr>
                <w:rFonts w:ascii="Times" w:hAnsi="Times" w:cs="Times"/>
                <w:color w:val="000000"/>
                <w:szCs w:val="22"/>
                <w:lang w:val="en-GB"/>
              </w:rPr>
              <w:t xml:space="preserve"> (</w:t>
            </w:r>
            <w:r>
              <w:rPr>
                <w:rFonts w:ascii="Times" w:hAnsi="Times" w:cs="Times"/>
                <w:color w:val="000000"/>
                <w:szCs w:val="22"/>
                <w:lang w:val="en-GB"/>
              </w:rPr>
              <w:t>50.7</w:t>
            </w:r>
            <w:r w:rsidR="00686C5C">
              <w:rPr>
                <w:rFonts w:ascii="Times" w:hAnsi="Times" w:cs="Times"/>
                <w:color w:val="000000"/>
                <w:szCs w:val="22"/>
                <w:lang w:val="en-GB"/>
              </w:rPr>
              <w:t>%)</w:t>
            </w:r>
          </w:p>
        </w:tc>
        <w:tc>
          <w:tcPr>
            <w:tcW w:w="1637" w:type="dxa"/>
            <w:tcBorders>
              <w:top w:val="nil"/>
              <w:left w:val="nil"/>
              <w:bottom w:val="nil"/>
              <w:right w:val="nil"/>
            </w:tcBorders>
            <w:shd w:val="clear" w:color="auto" w:fill="auto"/>
            <w:noWrap/>
            <w:vAlign w:val="bottom"/>
          </w:tcPr>
          <w:p w14:paraId="2B60366E" w14:textId="5A09AA11" w:rsidR="00686C5C" w:rsidRPr="000C15A4" w:rsidRDefault="00342420" w:rsidP="00342420">
            <w:pPr>
              <w:spacing w:line="480" w:lineRule="auto"/>
              <w:jc w:val="center"/>
              <w:rPr>
                <w:rFonts w:ascii="Times" w:hAnsi="Times" w:cs="Times"/>
                <w:color w:val="000000"/>
                <w:szCs w:val="22"/>
                <w:lang w:val="en-GB"/>
              </w:rPr>
            </w:pPr>
            <w:r>
              <w:rPr>
                <w:rFonts w:ascii="Times" w:hAnsi="Times" w:cs="Times"/>
                <w:color w:val="000000"/>
                <w:szCs w:val="22"/>
                <w:lang w:val="en-GB"/>
              </w:rPr>
              <w:t>388</w:t>
            </w:r>
            <w:r w:rsidR="00686C5C">
              <w:rPr>
                <w:rFonts w:ascii="Times" w:hAnsi="Times" w:cs="Times"/>
                <w:color w:val="000000"/>
                <w:szCs w:val="22"/>
                <w:lang w:val="en-GB"/>
              </w:rPr>
              <w:t xml:space="preserve"> (</w:t>
            </w:r>
            <w:r>
              <w:rPr>
                <w:rFonts w:ascii="Times" w:hAnsi="Times" w:cs="Times"/>
                <w:color w:val="000000"/>
                <w:szCs w:val="22"/>
                <w:lang w:val="en-GB"/>
              </w:rPr>
              <w:t>55.0</w:t>
            </w:r>
            <w:r w:rsidR="00686C5C">
              <w:rPr>
                <w:rFonts w:ascii="Times" w:hAnsi="Times" w:cs="Times"/>
                <w:color w:val="000000"/>
                <w:szCs w:val="22"/>
                <w:lang w:val="en-GB"/>
              </w:rPr>
              <w:t>%)</w:t>
            </w:r>
          </w:p>
        </w:tc>
        <w:tc>
          <w:tcPr>
            <w:tcW w:w="886" w:type="dxa"/>
            <w:gridSpan w:val="2"/>
            <w:tcBorders>
              <w:top w:val="nil"/>
              <w:left w:val="nil"/>
              <w:bottom w:val="nil"/>
              <w:right w:val="nil"/>
            </w:tcBorders>
            <w:shd w:val="clear" w:color="auto" w:fill="auto"/>
            <w:noWrap/>
            <w:vAlign w:val="bottom"/>
          </w:tcPr>
          <w:p w14:paraId="2514F141" w14:textId="671AC27F" w:rsidR="00686C5C" w:rsidRPr="000C15A4" w:rsidRDefault="00686C5C" w:rsidP="00E51A65">
            <w:pPr>
              <w:spacing w:line="480" w:lineRule="auto"/>
              <w:jc w:val="center"/>
              <w:rPr>
                <w:rFonts w:ascii="Times" w:hAnsi="Times" w:cs="Times"/>
                <w:color w:val="000000"/>
                <w:szCs w:val="22"/>
                <w:lang w:val="en-GB"/>
              </w:rPr>
            </w:pPr>
            <w:r>
              <w:rPr>
                <w:rFonts w:ascii="Times" w:hAnsi="Times" w:cs="Times"/>
                <w:color w:val="000000"/>
                <w:szCs w:val="22"/>
                <w:lang w:val="en-GB"/>
              </w:rPr>
              <w:t>.</w:t>
            </w:r>
            <w:r w:rsidR="00342420">
              <w:rPr>
                <w:rFonts w:ascii="Times" w:hAnsi="Times" w:cs="Times"/>
                <w:color w:val="000000"/>
                <w:szCs w:val="22"/>
                <w:lang w:val="en-GB"/>
              </w:rPr>
              <w:t>11</w:t>
            </w:r>
          </w:p>
        </w:tc>
      </w:tr>
      <w:tr w:rsidR="00686C5C" w:rsidRPr="00C63F25" w14:paraId="1F4F78D7" w14:textId="77777777" w:rsidTr="00686C5C">
        <w:trPr>
          <w:trHeight w:val="282"/>
        </w:trPr>
        <w:tc>
          <w:tcPr>
            <w:tcW w:w="4395" w:type="dxa"/>
            <w:tcBorders>
              <w:top w:val="nil"/>
              <w:left w:val="nil"/>
              <w:bottom w:val="nil"/>
              <w:right w:val="nil"/>
            </w:tcBorders>
            <w:shd w:val="clear" w:color="auto" w:fill="auto"/>
            <w:noWrap/>
            <w:vAlign w:val="bottom"/>
            <w:hideMark/>
          </w:tcPr>
          <w:p w14:paraId="2CDF418D" w14:textId="77777777" w:rsidR="00686C5C" w:rsidRPr="00C63F25" w:rsidRDefault="00686C5C" w:rsidP="00E51A65">
            <w:pPr>
              <w:spacing w:line="480" w:lineRule="auto"/>
              <w:rPr>
                <w:rFonts w:ascii="Times" w:hAnsi="Times" w:cs="Times"/>
                <w:color w:val="000000"/>
                <w:szCs w:val="22"/>
              </w:rPr>
            </w:pPr>
            <w:proofErr w:type="spellStart"/>
            <w:r w:rsidRPr="00C63F25">
              <w:rPr>
                <w:rFonts w:ascii="Times" w:hAnsi="Times" w:cs="Times"/>
                <w:color w:val="000000"/>
                <w:szCs w:val="22"/>
              </w:rPr>
              <w:t>Answer</w:t>
            </w:r>
            <w:proofErr w:type="spellEnd"/>
            <w:r w:rsidRPr="00C63F25">
              <w:rPr>
                <w:rFonts w:ascii="Times" w:hAnsi="Times" w:cs="Times"/>
                <w:color w:val="000000"/>
                <w:szCs w:val="22"/>
              </w:rPr>
              <w:t xml:space="preserve"> </w:t>
            </w:r>
            <w:proofErr w:type="spellStart"/>
            <w:r w:rsidRPr="00C63F25">
              <w:rPr>
                <w:rFonts w:ascii="Times" w:hAnsi="Times" w:cs="Times"/>
                <w:color w:val="000000"/>
                <w:szCs w:val="22"/>
              </w:rPr>
              <w:t>to</w:t>
            </w:r>
            <w:proofErr w:type="spellEnd"/>
            <w:r w:rsidRPr="00C63F25">
              <w:rPr>
                <w:rFonts w:ascii="Times" w:hAnsi="Times" w:cs="Times"/>
                <w:color w:val="000000"/>
                <w:szCs w:val="22"/>
              </w:rPr>
              <w:t xml:space="preserve"> Contest</w:t>
            </w:r>
            <w:r>
              <w:rPr>
                <w:rFonts w:ascii="Times" w:hAnsi="Times" w:cs="Times"/>
                <w:color w:val="000000"/>
                <w:szCs w:val="22"/>
              </w:rPr>
              <w:t xml:space="preserve"> </w:t>
            </w:r>
            <w:r>
              <w:rPr>
                <w:lang w:val="fr-CH"/>
              </w:rPr>
              <w:t xml:space="preserve">(%) </w:t>
            </w:r>
            <w:r>
              <w:rPr>
                <w:vertAlign w:val="superscript"/>
                <w:lang w:val="fr-CH"/>
              </w:rPr>
              <w:t>cd</w:t>
            </w:r>
          </w:p>
        </w:tc>
        <w:tc>
          <w:tcPr>
            <w:tcW w:w="1559" w:type="dxa"/>
            <w:tcBorders>
              <w:top w:val="nil"/>
              <w:left w:val="nil"/>
              <w:bottom w:val="nil"/>
              <w:right w:val="nil"/>
            </w:tcBorders>
            <w:shd w:val="clear" w:color="auto" w:fill="auto"/>
            <w:noWrap/>
            <w:vAlign w:val="bottom"/>
            <w:hideMark/>
          </w:tcPr>
          <w:p w14:paraId="0BE27FB7" w14:textId="77777777" w:rsidR="00686C5C" w:rsidRPr="00C63F25" w:rsidRDefault="00686C5C" w:rsidP="00E51A65">
            <w:pPr>
              <w:spacing w:line="480" w:lineRule="auto"/>
              <w:jc w:val="center"/>
              <w:rPr>
                <w:rFonts w:ascii="Times" w:hAnsi="Times" w:cs="Times"/>
                <w:color w:val="000000"/>
                <w:szCs w:val="22"/>
              </w:rPr>
            </w:pPr>
          </w:p>
        </w:tc>
        <w:tc>
          <w:tcPr>
            <w:tcW w:w="1588" w:type="dxa"/>
            <w:tcBorders>
              <w:top w:val="nil"/>
              <w:left w:val="nil"/>
              <w:bottom w:val="nil"/>
              <w:right w:val="nil"/>
            </w:tcBorders>
            <w:shd w:val="clear" w:color="auto" w:fill="auto"/>
            <w:noWrap/>
            <w:vAlign w:val="bottom"/>
            <w:hideMark/>
          </w:tcPr>
          <w:p w14:paraId="0B4A3985" w14:textId="77777777" w:rsidR="00686C5C" w:rsidRPr="00C63F25" w:rsidRDefault="00686C5C" w:rsidP="00E51A65">
            <w:pPr>
              <w:spacing w:line="480" w:lineRule="auto"/>
              <w:jc w:val="center"/>
              <w:rPr>
                <w:szCs w:val="20"/>
              </w:rPr>
            </w:pPr>
          </w:p>
        </w:tc>
        <w:tc>
          <w:tcPr>
            <w:tcW w:w="1637" w:type="dxa"/>
            <w:tcBorders>
              <w:top w:val="nil"/>
              <w:left w:val="nil"/>
              <w:bottom w:val="nil"/>
              <w:right w:val="nil"/>
            </w:tcBorders>
            <w:shd w:val="clear" w:color="auto" w:fill="auto"/>
            <w:noWrap/>
            <w:vAlign w:val="bottom"/>
            <w:hideMark/>
          </w:tcPr>
          <w:p w14:paraId="398D52F9" w14:textId="77777777" w:rsidR="00686C5C" w:rsidRPr="00C63F25" w:rsidRDefault="00686C5C" w:rsidP="00E51A65">
            <w:pPr>
              <w:spacing w:line="480" w:lineRule="auto"/>
              <w:jc w:val="center"/>
              <w:rPr>
                <w:szCs w:val="20"/>
              </w:rPr>
            </w:pPr>
          </w:p>
        </w:tc>
        <w:tc>
          <w:tcPr>
            <w:tcW w:w="886" w:type="dxa"/>
            <w:gridSpan w:val="2"/>
            <w:tcBorders>
              <w:top w:val="nil"/>
              <w:left w:val="nil"/>
              <w:bottom w:val="nil"/>
              <w:right w:val="nil"/>
            </w:tcBorders>
            <w:shd w:val="clear" w:color="auto" w:fill="auto"/>
            <w:noWrap/>
            <w:vAlign w:val="bottom"/>
            <w:hideMark/>
          </w:tcPr>
          <w:p w14:paraId="7DB4E203" w14:textId="77777777" w:rsidR="00686C5C" w:rsidRPr="00C63F25" w:rsidRDefault="00686C5C" w:rsidP="00E51A65">
            <w:pPr>
              <w:spacing w:line="480" w:lineRule="auto"/>
              <w:jc w:val="center"/>
              <w:rPr>
                <w:szCs w:val="20"/>
              </w:rPr>
            </w:pPr>
          </w:p>
        </w:tc>
      </w:tr>
      <w:tr w:rsidR="00686C5C" w:rsidRPr="00E25D99" w14:paraId="474DCA1B" w14:textId="77777777" w:rsidTr="00686C5C">
        <w:trPr>
          <w:trHeight w:val="282"/>
        </w:trPr>
        <w:tc>
          <w:tcPr>
            <w:tcW w:w="4395" w:type="dxa"/>
            <w:tcBorders>
              <w:top w:val="nil"/>
              <w:left w:val="nil"/>
              <w:bottom w:val="nil"/>
              <w:right w:val="nil"/>
            </w:tcBorders>
            <w:shd w:val="clear" w:color="auto" w:fill="auto"/>
            <w:noWrap/>
            <w:vAlign w:val="bottom"/>
            <w:hideMark/>
          </w:tcPr>
          <w:p w14:paraId="46DB8B60" w14:textId="77777777" w:rsidR="00686C5C" w:rsidRPr="00DB012F" w:rsidRDefault="00686C5C" w:rsidP="00E51A65">
            <w:pPr>
              <w:spacing w:line="480" w:lineRule="auto"/>
              <w:ind w:firstLineChars="100" w:firstLine="240"/>
              <w:rPr>
                <w:rFonts w:ascii="Times" w:hAnsi="Times" w:cs="Times"/>
                <w:color w:val="000000"/>
                <w:szCs w:val="22"/>
                <w:lang w:val="fr-CH"/>
              </w:rPr>
            </w:pPr>
            <w:proofErr w:type="spellStart"/>
            <w:r w:rsidRPr="00DB012F">
              <w:rPr>
                <w:rFonts w:ascii="Times" w:hAnsi="Times" w:cs="Times"/>
                <w:color w:val="000000"/>
                <w:szCs w:val="22"/>
                <w:lang w:val="fr-CH"/>
              </w:rPr>
              <w:t>Motivational</w:t>
            </w:r>
            <w:proofErr w:type="spellEnd"/>
            <w:r w:rsidRPr="00DB012F">
              <w:rPr>
                <w:rFonts w:ascii="Times" w:hAnsi="Times" w:cs="Times"/>
                <w:color w:val="000000"/>
                <w:szCs w:val="22"/>
                <w:lang w:val="fr-CH"/>
              </w:rPr>
              <w:t xml:space="preserve"> or </w:t>
            </w:r>
            <w:proofErr w:type="spellStart"/>
            <w:r w:rsidRPr="00DB012F">
              <w:rPr>
                <w:rFonts w:ascii="Times" w:hAnsi="Times" w:cs="Times"/>
                <w:color w:val="000000"/>
                <w:szCs w:val="22"/>
                <w:lang w:val="fr-CH"/>
              </w:rPr>
              <w:t>Quit</w:t>
            </w:r>
            <w:proofErr w:type="spellEnd"/>
            <w:r w:rsidRPr="00DB012F">
              <w:rPr>
                <w:rFonts w:ascii="Times" w:hAnsi="Times" w:cs="Times"/>
                <w:color w:val="000000"/>
                <w:szCs w:val="22"/>
                <w:lang w:val="fr-CH"/>
              </w:rPr>
              <w:t xml:space="preserve"> </w:t>
            </w:r>
            <w:proofErr w:type="spellStart"/>
            <w:r w:rsidRPr="00DB012F">
              <w:rPr>
                <w:rFonts w:ascii="Times" w:hAnsi="Times" w:cs="Times"/>
                <w:color w:val="000000"/>
                <w:szCs w:val="22"/>
                <w:lang w:val="fr-CH"/>
              </w:rPr>
              <w:t>Contest</w:t>
            </w:r>
            <w:proofErr w:type="spellEnd"/>
            <w:r w:rsidRPr="00DB012F">
              <w:rPr>
                <w:rFonts w:ascii="Times" w:hAnsi="Times" w:cs="Times"/>
                <w:color w:val="000000"/>
                <w:szCs w:val="22"/>
                <w:lang w:val="fr-CH"/>
              </w:rPr>
              <w:t xml:space="preserve"> (</w:t>
            </w:r>
            <w:proofErr w:type="spellStart"/>
            <w:r w:rsidRPr="00DB012F">
              <w:rPr>
                <w:rFonts w:ascii="Times" w:hAnsi="Times" w:cs="Times"/>
                <w:color w:val="000000"/>
                <w:szCs w:val="22"/>
                <w:lang w:val="fr-CH"/>
              </w:rPr>
              <w:t>week</w:t>
            </w:r>
            <w:proofErr w:type="spellEnd"/>
            <w:r w:rsidRPr="00DB012F">
              <w:rPr>
                <w:rFonts w:ascii="Times" w:hAnsi="Times" w:cs="Times"/>
                <w:color w:val="000000"/>
                <w:szCs w:val="22"/>
                <w:lang w:val="fr-CH"/>
              </w:rPr>
              <w:t xml:space="preserve"> 4)</w:t>
            </w:r>
          </w:p>
        </w:tc>
        <w:tc>
          <w:tcPr>
            <w:tcW w:w="1559" w:type="dxa"/>
            <w:tcBorders>
              <w:top w:val="nil"/>
              <w:left w:val="nil"/>
              <w:bottom w:val="nil"/>
              <w:right w:val="nil"/>
            </w:tcBorders>
            <w:shd w:val="clear" w:color="auto" w:fill="auto"/>
            <w:noWrap/>
            <w:vAlign w:val="bottom"/>
          </w:tcPr>
          <w:p w14:paraId="6F7EAF59"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626 (44.1%)</w:t>
            </w:r>
          </w:p>
        </w:tc>
        <w:tc>
          <w:tcPr>
            <w:tcW w:w="1588" w:type="dxa"/>
            <w:tcBorders>
              <w:top w:val="nil"/>
              <w:left w:val="nil"/>
              <w:bottom w:val="nil"/>
              <w:right w:val="nil"/>
            </w:tcBorders>
            <w:shd w:val="clear" w:color="auto" w:fill="auto"/>
            <w:noWrap/>
            <w:vAlign w:val="bottom"/>
          </w:tcPr>
          <w:p w14:paraId="6A19E27D"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303 (42.6%)</w:t>
            </w:r>
          </w:p>
        </w:tc>
        <w:tc>
          <w:tcPr>
            <w:tcW w:w="1637" w:type="dxa"/>
            <w:tcBorders>
              <w:top w:val="nil"/>
              <w:left w:val="nil"/>
              <w:bottom w:val="nil"/>
              <w:right w:val="nil"/>
            </w:tcBorders>
            <w:shd w:val="clear" w:color="auto" w:fill="auto"/>
            <w:noWrap/>
            <w:vAlign w:val="bottom"/>
          </w:tcPr>
          <w:p w14:paraId="7E12CAAB"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323 (45.8%)</w:t>
            </w:r>
          </w:p>
        </w:tc>
        <w:tc>
          <w:tcPr>
            <w:tcW w:w="886" w:type="dxa"/>
            <w:gridSpan w:val="2"/>
            <w:tcBorders>
              <w:top w:val="nil"/>
              <w:left w:val="nil"/>
              <w:bottom w:val="nil"/>
              <w:right w:val="nil"/>
            </w:tcBorders>
            <w:shd w:val="clear" w:color="auto" w:fill="auto"/>
            <w:noWrap/>
            <w:vAlign w:val="bottom"/>
          </w:tcPr>
          <w:p w14:paraId="31F60C97"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.23</w:t>
            </w:r>
          </w:p>
        </w:tc>
      </w:tr>
      <w:tr w:rsidR="00686C5C" w:rsidRPr="00E25D99" w14:paraId="7DB985AD" w14:textId="77777777" w:rsidTr="00686C5C">
        <w:trPr>
          <w:trHeight w:val="282"/>
        </w:trPr>
        <w:tc>
          <w:tcPr>
            <w:tcW w:w="4395" w:type="dxa"/>
            <w:tcBorders>
              <w:top w:val="nil"/>
              <w:left w:val="nil"/>
              <w:bottom w:val="nil"/>
              <w:right w:val="nil"/>
            </w:tcBorders>
            <w:shd w:val="clear" w:color="auto" w:fill="auto"/>
            <w:noWrap/>
            <w:vAlign w:val="bottom"/>
            <w:hideMark/>
          </w:tcPr>
          <w:p w14:paraId="0E4F5211" w14:textId="77777777" w:rsidR="00686C5C" w:rsidRPr="008E5B3E" w:rsidRDefault="00686C5C" w:rsidP="00E51A65">
            <w:pPr>
              <w:spacing w:line="480" w:lineRule="auto"/>
              <w:ind w:firstLineChars="100" w:firstLine="240"/>
              <w:rPr>
                <w:rFonts w:ascii="Times" w:hAnsi="Times" w:cs="Times"/>
                <w:color w:val="000000"/>
                <w:szCs w:val="22"/>
                <w:lang w:val="fr-CH"/>
              </w:rPr>
            </w:pPr>
            <w:proofErr w:type="spellStart"/>
            <w:r w:rsidRPr="008E5B3E">
              <w:rPr>
                <w:rFonts w:ascii="Times" w:hAnsi="Times" w:cs="Times"/>
                <w:color w:val="000000"/>
                <w:szCs w:val="22"/>
                <w:lang w:val="fr-CH"/>
              </w:rPr>
              <w:t>Motivational</w:t>
            </w:r>
            <w:proofErr w:type="spellEnd"/>
            <w:r w:rsidRPr="008E5B3E">
              <w:rPr>
                <w:rFonts w:ascii="Times" w:hAnsi="Times" w:cs="Times"/>
                <w:color w:val="000000"/>
                <w:szCs w:val="22"/>
                <w:lang w:val="fr-CH"/>
              </w:rPr>
              <w:t xml:space="preserve"> or </w:t>
            </w:r>
            <w:proofErr w:type="spellStart"/>
            <w:r w:rsidRPr="008E5B3E">
              <w:rPr>
                <w:rFonts w:ascii="Times" w:hAnsi="Times" w:cs="Times"/>
                <w:color w:val="000000"/>
                <w:szCs w:val="22"/>
                <w:lang w:val="fr-CH"/>
              </w:rPr>
              <w:t>Quit</w:t>
            </w:r>
            <w:proofErr w:type="spellEnd"/>
            <w:r w:rsidRPr="008E5B3E">
              <w:rPr>
                <w:rFonts w:ascii="Times" w:hAnsi="Times" w:cs="Times"/>
                <w:color w:val="000000"/>
                <w:szCs w:val="22"/>
                <w:lang w:val="fr-CH"/>
              </w:rPr>
              <w:t xml:space="preserve"> </w:t>
            </w:r>
            <w:proofErr w:type="spellStart"/>
            <w:r w:rsidRPr="008E5B3E">
              <w:rPr>
                <w:rFonts w:ascii="Times" w:hAnsi="Times" w:cs="Times"/>
                <w:color w:val="000000"/>
                <w:szCs w:val="22"/>
                <w:lang w:val="fr-CH"/>
              </w:rPr>
              <w:t>Contest</w:t>
            </w:r>
            <w:proofErr w:type="spellEnd"/>
            <w:r w:rsidRPr="008E5B3E">
              <w:rPr>
                <w:rFonts w:ascii="Times" w:hAnsi="Times" w:cs="Times"/>
                <w:color w:val="000000"/>
                <w:szCs w:val="22"/>
                <w:lang w:val="fr-CH"/>
              </w:rPr>
              <w:t xml:space="preserve"> (</w:t>
            </w:r>
            <w:proofErr w:type="spellStart"/>
            <w:r w:rsidRPr="008E5B3E">
              <w:rPr>
                <w:rFonts w:ascii="Times" w:hAnsi="Times" w:cs="Times"/>
                <w:color w:val="000000"/>
                <w:szCs w:val="22"/>
                <w:lang w:val="fr-CH"/>
              </w:rPr>
              <w:t>week</w:t>
            </w:r>
            <w:proofErr w:type="spellEnd"/>
            <w:r w:rsidRPr="008E5B3E">
              <w:rPr>
                <w:rFonts w:ascii="Times" w:hAnsi="Times" w:cs="Times"/>
                <w:color w:val="000000"/>
                <w:szCs w:val="22"/>
                <w:lang w:val="fr-CH"/>
              </w:rPr>
              <w:t xml:space="preserve"> 8)</w:t>
            </w:r>
          </w:p>
        </w:tc>
        <w:tc>
          <w:tcPr>
            <w:tcW w:w="1559" w:type="dxa"/>
            <w:tcBorders>
              <w:top w:val="nil"/>
              <w:left w:val="nil"/>
              <w:right w:val="nil"/>
            </w:tcBorders>
            <w:shd w:val="clear" w:color="auto" w:fill="auto"/>
            <w:noWrap/>
            <w:vAlign w:val="bottom"/>
          </w:tcPr>
          <w:p w14:paraId="140C0B01"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353 (24.9%)</w:t>
            </w:r>
          </w:p>
        </w:tc>
        <w:tc>
          <w:tcPr>
            <w:tcW w:w="1588" w:type="dxa"/>
            <w:tcBorders>
              <w:top w:val="nil"/>
              <w:left w:val="nil"/>
              <w:right w:val="nil"/>
            </w:tcBorders>
            <w:shd w:val="clear" w:color="auto" w:fill="auto"/>
            <w:noWrap/>
            <w:vAlign w:val="bottom"/>
          </w:tcPr>
          <w:p w14:paraId="2D0EDB03"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175 (24.6%)</w:t>
            </w:r>
          </w:p>
        </w:tc>
        <w:tc>
          <w:tcPr>
            <w:tcW w:w="1637" w:type="dxa"/>
            <w:tcBorders>
              <w:top w:val="nil"/>
              <w:left w:val="nil"/>
              <w:right w:val="nil"/>
            </w:tcBorders>
            <w:shd w:val="clear" w:color="auto" w:fill="auto"/>
            <w:noWrap/>
            <w:vAlign w:val="bottom"/>
          </w:tcPr>
          <w:p w14:paraId="2DF4DE07" w14:textId="77777777" w:rsidR="00686C5C" w:rsidRPr="009E528C" w:rsidRDefault="00686C5C" w:rsidP="00E51A65">
            <w:pPr>
              <w:spacing w:line="480" w:lineRule="auto"/>
              <w:jc w:val="center"/>
              <w:rPr>
                <w:rFonts w:ascii="Times" w:hAnsi="Times" w:cs="Times"/>
                <w:szCs w:val="22"/>
                <w:lang w:val="fr-CH"/>
              </w:rPr>
            </w:pPr>
            <w:r w:rsidRPr="009E528C">
              <w:rPr>
                <w:rFonts w:ascii="Times" w:hAnsi="Times" w:cs="Times"/>
                <w:szCs w:val="22"/>
                <w:lang w:val="fr-CH"/>
              </w:rPr>
              <w:t>178 (25.2%)</w:t>
            </w:r>
          </w:p>
        </w:tc>
        <w:tc>
          <w:tcPr>
            <w:tcW w:w="886" w:type="dxa"/>
            <w:gridSpan w:val="2"/>
            <w:tcBorders>
              <w:top w:val="nil"/>
              <w:left w:val="nil"/>
              <w:bottom w:val="nil"/>
              <w:right w:val="nil"/>
            </w:tcBorders>
            <w:shd w:val="clear" w:color="auto" w:fill="auto"/>
            <w:noWrap/>
            <w:vAlign w:val="bottom"/>
          </w:tcPr>
          <w:p w14:paraId="25F68783" w14:textId="77777777" w:rsidR="00686C5C" w:rsidRPr="009E528C" w:rsidRDefault="00686C5C" w:rsidP="00E51A65">
            <w:pPr>
              <w:spacing w:line="480" w:lineRule="auto"/>
              <w:jc w:val="center"/>
              <w:rPr>
                <w:szCs w:val="20"/>
                <w:lang w:val="fr-CH"/>
              </w:rPr>
            </w:pPr>
            <w:r w:rsidRPr="009E528C">
              <w:rPr>
                <w:szCs w:val="20"/>
                <w:lang w:val="fr-CH"/>
              </w:rPr>
              <w:t>.78</w:t>
            </w:r>
          </w:p>
        </w:tc>
      </w:tr>
      <w:tr w:rsidR="00686C5C" w:rsidRPr="00E25D99" w14:paraId="60810771" w14:textId="77777777" w:rsidTr="00686C5C">
        <w:trPr>
          <w:trHeight w:val="282"/>
        </w:trPr>
        <w:tc>
          <w:tcPr>
            <w:tcW w:w="4395" w:type="dxa"/>
            <w:tcBorders>
              <w:top w:val="nil"/>
              <w:left w:val="nil"/>
              <w:bottom w:val="nil"/>
              <w:right w:val="nil"/>
            </w:tcBorders>
            <w:shd w:val="clear" w:color="auto" w:fill="auto"/>
            <w:noWrap/>
          </w:tcPr>
          <w:p w14:paraId="514A3CED" w14:textId="77777777" w:rsidR="00686C5C" w:rsidRPr="000C15A4" w:rsidRDefault="00686C5C" w:rsidP="00E51A65">
            <w:pPr>
              <w:spacing w:line="480" w:lineRule="auto"/>
              <w:rPr>
                <w:rFonts w:ascii="Times" w:hAnsi="Times" w:cs="Times"/>
                <w:color w:val="000000"/>
                <w:szCs w:val="22"/>
                <w:lang w:val="en-GB"/>
              </w:rPr>
            </w:pPr>
            <w:r>
              <w:rPr>
                <w:rFonts w:ascii="Times" w:hAnsi="Times" w:cs="Times"/>
                <w:color w:val="000000"/>
                <w:szCs w:val="22"/>
                <w:lang w:val="en-GB"/>
              </w:rPr>
              <w:t xml:space="preserve">Setting of a quit-date </w:t>
            </w:r>
            <w:r w:rsidRPr="000C15A4">
              <w:rPr>
                <w:lang w:val="en-GB"/>
              </w:rPr>
              <w:t xml:space="preserve">(%) </w:t>
            </w:r>
            <w:r w:rsidRPr="000C15A4">
              <w:rPr>
                <w:vertAlign w:val="superscript"/>
                <w:lang w:val="en-GB"/>
              </w:rPr>
              <w:t>cd</w:t>
            </w:r>
          </w:p>
        </w:tc>
        <w:tc>
          <w:tcPr>
            <w:tcW w:w="1559" w:type="dxa"/>
            <w:tcBorders>
              <w:top w:val="nil"/>
              <w:left w:val="nil"/>
              <w:bottom w:val="single" w:sz="4" w:space="0" w:color="auto"/>
              <w:right w:val="nil"/>
            </w:tcBorders>
            <w:shd w:val="clear" w:color="auto" w:fill="auto"/>
            <w:noWrap/>
            <w:vAlign w:val="bottom"/>
          </w:tcPr>
          <w:p w14:paraId="28102C56" w14:textId="77777777" w:rsidR="00686C5C" w:rsidRPr="00770EC7" w:rsidRDefault="00686C5C" w:rsidP="00E51A65">
            <w:pPr>
              <w:spacing w:line="480" w:lineRule="auto"/>
              <w:jc w:val="center"/>
              <w:rPr>
                <w:rFonts w:ascii="Times" w:hAnsi="Times" w:cs="Times"/>
                <w:szCs w:val="22"/>
                <w:lang w:val="en-GB"/>
              </w:rPr>
            </w:pPr>
            <w:r w:rsidRPr="00770EC7">
              <w:rPr>
                <w:rFonts w:ascii="Times" w:hAnsi="Times" w:cs="Times"/>
                <w:szCs w:val="22"/>
                <w:lang w:val="en-GB"/>
              </w:rPr>
              <w:t>156/ 475 (32.8%)</w:t>
            </w:r>
          </w:p>
        </w:tc>
        <w:tc>
          <w:tcPr>
            <w:tcW w:w="1588" w:type="dxa"/>
            <w:tcBorders>
              <w:top w:val="nil"/>
              <w:left w:val="nil"/>
              <w:bottom w:val="single" w:sz="4" w:space="0" w:color="auto"/>
              <w:right w:val="nil"/>
            </w:tcBorders>
            <w:shd w:val="clear" w:color="auto" w:fill="auto"/>
            <w:noWrap/>
            <w:vAlign w:val="bottom"/>
          </w:tcPr>
          <w:p w14:paraId="0F81A9B9" w14:textId="77777777" w:rsidR="00686C5C" w:rsidRPr="00770EC7" w:rsidRDefault="00686C5C" w:rsidP="00E51A65">
            <w:pPr>
              <w:spacing w:line="480" w:lineRule="auto"/>
              <w:jc w:val="center"/>
              <w:rPr>
                <w:rFonts w:ascii="Times" w:hAnsi="Times" w:cs="Times"/>
                <w:szCs w:val="22"/>
                <w:lang w:val="en-GB"/>
              </w:rPr>
            </w:pPr>
            <w:r w:rsidRPr="00770EC7">
              <w:rPr>
                <w:rFonts w:ascii="Times" w:hAnsi="Times" w:cs="Times"/>
                <w:szCs w:val="22"/>
                <w:lang w:val="en-GB"/>
              </w:rPr>
              <w:t>79/239 (33.1%)</w:t>
            </w:r>
          </w:p>
        </w:tc>
        <w:tc>
          <w:tcPr>
            <w:tcW w:w="1637" w:type="dxa"/>
            <w:tcBorders>
              <w:top w:val="nil"/>
              <w:left w:val="nil"/>
              <w:bottom w:val="single" w:sz="4" w:space="0" w:color="auto"/>
              <w:right w:val="nil"/>
            </w:tcBorders>
            <w:shd w:val="clear" w:color="auto" w:fill="auto"/>
            <w:noWrap/>
            <w:vAlign w:val="bottom"/>
          </w:tcPr>
          <w:p w14:paraId="7C58E6CF" w14:textId="77777777" w:rsidR="00686C5C" w:rsidRPr="00770EC7" w:rsidRDefault="00686C5C" w:rsidP="00E51A65">
            <w:pPr>
              <w:spacing w:line="480" w:lineRule="auto"/>
              <w:jc w:val="center"/>
              <w:rPr>
                <w:rFonts w:ascii="Times" w:hAnsi="Times" w:cs="Times"/>
                <w:szCs w:val="22"/>
                <w:lang w:val="en-GB"/>
              </w:rPr>
            </w:pPr>
            <w:r w:rsidRPr="00770EC7">
              <w:rPr>
                <w:rFonts w:ascii="Times" w:hAnsi="Times" w:cs="Times"/>
                <w:szCs w:val="22"/>
                <w:lang w:val="en-GB"/>
              </w:rPr>
              <w:t>77/236 (32.6%)</w:t>
            </w:r>
          </w:p>
        </w:tc>
        <w:tc>
          <w:tcPr>
            <w:tcW w:w="886" w:type="dxa"/>
            <w:gridSpan w:val="2"/>
            <w:tcBorders>
              <w:top w:val="nil"/>
              <w:left w:val="nil"/>
              <w:bottom w:val="nil"/>
              <w:right w:val="nil"/>
            </w:tcBorders>
            <w:shd w:val="clear" w:color="auto" w:fill="auto"/>
            <w:noWrap/>
          </w:tcPr>
          <w:p w14:paraId="799B93C6" w14:textId="77777777" w:rsidR="00686C5C" w:rsidRPr="000C15A4" w:rsidRDefault="00686C5C" w:rsidP="00E51A65">
            <w:pPr>
              <w:spacing w:line="480" w:lineRule="auto"/>
              <w:jc w:val="center"/>
              <w:rPr>
                <w:szCs w:val="20"/>
                <w:lang w:val="en-GB"/>
              </w:rPr>
            </w:pPr>
            <w:r>
              <w:rPr>
                <w:szCs w:val="20"/>
                <w:lang w:val="en-GB"/>
              </w:rPr>
              <w:t>.92</w:t>
            </w:r>
          </w:p>
        </w:tc>
      </w:tr>
      <w:tr w:rsidR="006C346E" w:rsidRPr="00907407" w14:paraId="23C50580" w14:textId="77777777" w:rsidTr="00686C5C">
        <w:trPr>
          <w:gridAfter w:val="1"/>
          <w:wAfter w:w="461" w:type="dxa"/>
          <w:trHeight w:val="338"/>
        </w:trPr>
        <w:tc>
          <w:tcPr>
            <w:tcW w:w="9604" w:type="dxa"/>
            <w:gridSpan w:val="5"/>
            <w:tcBorders>
              <w:top w:val="single" w:sz="4" w:space="0" w:color="auto"/>
              <w:left w:val="nil"/>
              <w:bottom w:val="nil"/>
              <w:right w:val="nil"/>
            </w:tcBorders>
          </w:tcPr>
          <w:p w14:paraId="51076546" w14:textId="77777777" w:rsidR="001A3A45" w:rsidRPr="00C63F25" w:rsidRDefault="006C346E" w:rsidP="00E51A65">
            <w:pPr>
              <w:spacing w:line="480" w:lineRule="auto"/>
              <w:rPr>
                <w:rFonts w:ascii="Times" w:hAnsi="Times" w:cs="Times"/>
                <w:color w:val="000000"/>
                <w:szCs w:val="22"/>
                <w:lang w:val="en-GB"/>
              </w:rPr>
            </w:pPr>
            <w:proofErr w:type="gramStart"/>
            <w:r w:rsidRPr="00C63F25">
              <w:rPr>
                <w:rFonts w:ascii="Times" w:hAnsi="Times" w:cs="Times"/>
                <w:color w:val="000000"/>
                <w:szCs w:val="22"/>
                <w:vertAlign w:val="superscript"/>
                <w:lang w:val="en-GB"/>
              </w:rPr>
              <w:t>a</w:t>
            </w:r>
            <w:proofErr w:type="gramEnd"/>
            <w:r w:rsidRPr="00C63F25">
              <w:rPr>
                <w:rFonts w:ascii="Times" w:hAnsi="Times" w:cs="Times"/>
                <w:color w:val="000000"/>
                <w:szCs w:val="22"/>
                <w:lang w:val="en-GB"/>
              </w:rPr>
              <w:t xml:space="preserve"> </w:t>
            </w:r>
            <w:r w:rsidRPr="00C63F25">
              <w:rPr>
                <w:rFonts w:ascii="Times" w:hAnsi="Times" w:cs="Times"/>
                <w:i/>
                <w:color w:val="000000"/>
                <w:szCs w:val="22"/>
                <w:lang w:val="en-GB"/>
              </w:rPr>
              <w:t>t</w:t>
            </w:r>
            <w:r w:rsidRPr="00C63F25">
              <w:rPr>
                <w:rFonts w:ascii="Times" w:hAnsi="Times" w:cs="Times"/>
                <w:color w:val="000000"/>
                <w:szCs w:val="22"/>
                <w:lang w:val="en-GB"/>
              </w:rPr>
              <w:t xml:space="preserve"> </w:t>
            </w:r>
            <w:proofErr w:type="spellStart"/>
            <w:r w:rsidRPr="00C63F25">
              <w:rPr>
                <w:rFonts w:ascii="Times" w:hAnsi="Times" w:cs="Times"/>
                <w:color w:val="000000"/>
                <w:szCs w:val="22"/>
                <w:lang w:val="en-GB"/>
              </w:rPr>
              <w:t>test,</w:t>
            </w:r>
            <w:r w:rsidRPr="00C63F25">
              <w:rPr>
                <w:rFonts w:ascii="Times" w:hAnsi="Times" w:cs="Times"/>
                <w:color w:val="000000"/>
                <w:szCs w:val="22"/>
                <w:vertAlign w:val="superscript"/>
                <w:lang w:val="en-GB"/>
              </w:rPr>
              <w:t>b</w:t>
            </w:r>
            <w:proofErr w:type="spellEnd"/>
            <w:r w:rsidRPr="00C63F25">
              <w:rPr>
                <w:rFonts w:ascii="Times" w:hAnsi="Times" w:cs="Times"/>
                <w:color w:val="000000"/>
                <w:szCs w:val="22"/>
                <w:vertAlign w:val="superscript"/>
                <w:lang w:val="en-GB"/>
              </w:rPr>
              <w:t xml:space="preserve"> </w:t>
            </w:r>
            <w:r>
              <w:rPr>
                <w:rFonts w:ascii="Times" w:hAnsi="Times" w:cs="Times"/>
                <w:color w:val="000000"/>
                <w:szCs w:val="22"/>
                <w:lang w:val="en-GB"/>
              </w:rPr>
              <w:t>(</w:t>
            </w:r>
            <w:proofErr w:type="spellStart"/>
            <w:r>
              <w:rPr>
                <w:rFonts w:ascii="Times" w:hAnsi="Times" w:cs="Times"/>
                <w:color w:val="000000"/>
                <w:szCs w:val="22"/>
                <w:lang w:val="en-GB"/>
              </w:rPr>
              <w:t>df</w:t>
            </w:r>
            <w:proofErr w:type="spellEnd"/>
            <w:r>
              <w:rPr>
                <w:rFonts w:ascii="Times" w:hAnsi="Times" w:cs="Times"/>
                <w:color w:val="000000"/>
                <w:szCs w:val="22"/>
                <w:lang w:val="en-GB"/>
              </w:rPr>
              <w:t>=1416</w:t>
            </w:r>
            <w:r w:rsidRPr="00C63F25">
              <w:rPr>
                <w:rFonts w:ascii="Times" w:hAnsi="Times" w:cs="Times"/>
                <w:color w:val="000000"/>
                <w:szCs w:val="22"/>
                <w:lang w:val="en-GB"/>
              </w:rPr>
              <w:t xml:space="preserve">), </w:t>
            </w:r>
            <w:r w:rsidRPr="00C63F25">
              <w:rPr>
                <w:rFonts w:ascii="Times" w:hAnsi="Times" w:cs="Times"/>
                <w:color w:val="000000"/>
                <w:szCs w:val="22"/>
                <w:vertAlign w:val="superscript"/>
                <w:lang w:val="en-GB"/>
              </w:rPr>
              <w:t>c</w:t>
            </w:r>
            <w:r w:rsidRPr="00C63F25">
              <w:rPr>
                <w:rFonts w:ascii="Times" w:hAnsi="Times" w:cs="Times"/>
                <w:color w:val="000000"/>
                <w:szCs w:val="22"/>
                <w:lang w:val="en-GB"/>
              </w:rPr>
              <w:t xml:space="preserve"> </w:t>
            </w:r>
            <w:r w:rsidRPr="00C63F25">
              <w:rPr>
                <w:i/>
                <w:lang w:val="en-GB"/>
              </w:rPr>
              <w:t>χ</w:t>
            </w:r>
            <w:r w:rsidRPr="00C63F25">
              <w:rPr>
                <w:i/>
                <w:vertAlign w:val="superscript"/>
                <w:lang w:val="en-GB"/>
              </w:rPr>
              <w:t xml:space="preserve">2 </w:t>
            </w:r>
            <w:r w:rsidRPr="00C63F25">
              <w:rPr>
                <w:lang w:val="en-GB"/>
              </w:rPr>
              <w:t>test</w:t>
            </w:r>
            <w:r w:rsidRPr="00C63F25">
              <w:rPr>
                <w:rFonts w:ascii="Times" w:hAnsi="Times" w:cs="Times"/>
                <w:color w:val="000000"/>
                <w:szCs w:val="22"/>
                <w:lang w:val="en-GB"/>
              </w:rPr>
              <w:t>,</w:t>
            </w:r>
            <w:r w:rsidRPr="00C63F25">
              <w:rPr>
                <w:rFonts w:ascii="Times" w:hAnsi="Times" w:cs="Times"/>
                <w:color w:val="000000"/>
                <w:szCs w:val="22"/>
                <w:vertAlign w:val="superscript"/>
                <w:lang w:val="en-GB"/>
              </w:rPr>
              <w:t xml:space="preserve"> d</w:t>
            </w:r>
            <w:r w:rsidRPr="00C63F25">
              <w:rPr>
                <w:rFonts w:ascii="Times" w:hAnsi="Times" w:cs="Times"/>
                <w:color w:val="000000"/>
                <w:szCs w:val="22"/>
                <w:lang w:val="en-GB"/>
              </w:rPr>
              <w:t xml:space="preserve"> (</w:t>
            </w:r>
            <w:proofErr w:type="spellStart"/>
            <w:r w:rsidRPr="00C63F25">
              <w:rPr>
                <w:rFonts w:ascii="Times" w:hAnsi="Times" w:cs="Times"/>
                <w:i/>
                <w:color w:val="000000"/>
                <w:szCs w:val="22"/>
                <w:lang w:val="en-GB"/>
              </w:rPr>
              <w:t>df</w:t>
            </w:r>
            <w:proofErr w:type="spellEnd"/>
            <w:r w:rsidRPr="00C63F25">
              <w:rPr>
                <w:rFonts w:ascii="Times" w:hAnsi="Times" w:cs="Times"/>
                <w:color w:val="000000"/>
                <w:szCs w:val="22"/>
                <w:lang w:val="en-GB"/>
              </w:rPr>
              <w:t>= 1)</w:t>
            </w:r>
            <w:r w:rsidR="001A3A45">
              <w:rPr>
                <w:rFonts w:ascii="Times" w:hAnsi="Times" w:cs="Times"/>
                <w:color w:val="000000"/>
                <w:szCs w:val="22"/>
                <w:lang w:val="en-GB"/>
              </w:rPr>
              <w:t>. CPD/CPW= cigarettes smoked per day/ cigarettes smoked per week</w:t>
            </w:r>
          </w:p>
        </w:tc>
      </w:tr>
    </w:tbl>
    <w:p w14:paraId="5870B586" w14:textId="77777777" w:rsidR="006C346E" w:rsidRDefault="006C346E" w:rsidP="00A73207">
      <w:pPr>
        <w:spacing w:line="480" w:lineRule="auto"/>
        <w:rPr>
          <w:lang w:val="en-GB"/>
        </w:rPr>
      </w:pPr>
    </w:p>
    <w:p w14:paraId="76F0AE18" w14:textId="77777777" w:rsidR="00475AE7" w:rsidRPr="002840A4" w:rsidRDefault="00475AE7" w:rsidP="00475AE7">
      <w:pPr>
        <w:spacing w:line="480" w:lineRule="auto"/>
        <w:rPr>
          <w:i/>
          <w:lang w:val="en-GB"/>
        </w:rPr>
      </w:pPr>
      <w:r>
        <w:rPr>
          <w:i/>
          <w:lang w:val="en-GB"/>
        </w:rPr>
        <w:t xml:space="preserve">3.3 </w:t>
      </w:r>
      <w:r w:rsidR="00D421DF">
        <w:rPr>
          <w:i/>
          <w:lang w:val="en-GB"/>
        </w:rPr>
        <w:t>Engagement analysis</w:t>
      </w:r>
    </w:p>
    <w:p w14:paraId="0A53B573" w14:textId="2A206072" w:rsidR="00335674" w:rsidRDefault="00E51A65" w:rsidP="00C43828">
      <w:pPr>
        <w:spacing w:line="480" w:lineRule="auto"/>
        <w:rPr>
          <w:lang w:val="en-GB"/>
        </w:rPr>
      </w:pPr>
      <w:r>
        <w:rPr>
          <w:lang w:val="en-GB"/>
        </w:rPr>
        <w:t xml:space="preserve">Our </w:t>
      </w:r>
      <w:r w:rsidR="00C43828" w:rsidRPr="00C43828">
        <w:rPr>
          <w:lang w:val="en-GB"/>
        </w:rPr>
        <w:t xml:space="preserve">inspection </w:t>
      </w:r>
      <w:r w:rsidR="00C43828">
        <w:rPr>
          <w:lang w:val="en-GB"/>
        </w:rPr>
        <w:t xml:space="preserve">of answer behaviour over the </w:t>
      </w:r>
      <w:r w:rsidR="00045D65">
        <w:rPr>
          <w:lang w:val="en-GB"/>
        </w:rPr>
        <w:t>three-month</w:t>
      </w:r>
      <w:r w:rsidR="00C43828">
        <w:rPr>
          <w:lang w:val="en-GB"/>
        </w:rPr>
        <w:t xml:space="preserve"> intervention</w:t>
      </w:r>
      <w:r w:rsidR="00C43828" w:rsidRPr="00C43828">
        <w:rPr>
          <w:lang w:val="en-GB"/>
        </w:rPr>
        <w:t xml:space="preserve"> </w:t>
      </w:r>
      <w:r>
        <w:rPr>
          <w:lang w:val="en-GB"/>
        </w:rPr>
        <w:t xml:space="preserve">revealed </w:t>
      </w:r>
      <w:r w:rsidR="00C43828" w:rsidRPr="00C43828">
        <w:rPr>
          <w:lang w:val="en-GB"/>
        </w:rPr>
        <w:t xml:space="preserve">different types of </w:t>
      </w:r>
      <w:r w:rsidR="00C43828">
        <w:rPr>
          <w:lang w:val="en-GB"/>
        </w:rPr>
        <w:t>engagement trajector</w:t>
      </w:r>
      <w:r>
        <w:rPr>
          <w:lang w:val="en-GB"/>
        </w:rPr>
        <w:t>y</w:t>
      </w:r>
      <w:r w:rsidR="00C43828" w:rsidRPr="00C43828">
        <w:rPr>
          <w:lang w:val="en-GB"/>
        </w:rPr>
        <w:t>.</w:t>
      </w:r>
      <w:r w:rsidR="00DD5E90">
        <w:rPr>
          <w:lang w:val="en-GB"/>
        </w:rPr>
        <w:t xml:space="preserve"> </w:t>
      </w:r>
      <w:r w:rsidR="00C43828" w:rsidRPr="00C43828">
        <w:rPr>
          <w:lang w:val="en-GB"/>
        </w:rPr>
        <w:t xml:space="preserve">Some participants </w:t>
      </w:r>
      <w:r>
        <w:rPr>
          <w:lang w:val="en-GB"/>
        </w:rPr>
        <w:t>exhibited</w:t>
      </w:r>
      <w:r w:rsidR="00C43828" w:rsidRPr="00C43828">
        <w:rPr>
          <w:lang w:val="en-GB"/>
        </w:rPr>
        <w:t xml:space="preserve"> a stable answer pattern (</w:t>
      </w:r>
      <w:r>
        <w:rPr>
          <w:lang w:val="en-GB"/>
        </w:rPr>
        <w:t xml:space="preserve">either usually </w:t>
      </w:r>
      <w:r w:rsidR="00C43828" w:rsidRPr="00C43828">
        <w:rPr>
          <w:lang w:val="en-GB"/>
        </w:rPr>
        <w:t>answered or</w:t>
      </w:r>
      <w:r w:rsidR="00045D65">
        <w:rPr>
          <w:lang w:val="en-GB"/>
        </w:rPr>
        <w:t xml:space="preserve"> </w:t>
      </w:r>
      <w:r>
        <w:rPr>
          <w:lang w:val="en-GB"/>
        </w:rPr>
        <w:t xml:space="preserve">almost never </w:t>
      </w:r>
      <w:r w:rsidR="00045D65">
        <w:rPr>
          <w:lang w:val="en-GB"/>
        </w:rPr>
        <w:t>answered</w:t>
      </w:r>
      <w:r w:rsidR="00C43828" w:rsidRPr="00C43828">
        <w:rPr>
          <w:lang w:val="en-GB"/>
        </w:rPr>
        <w:t xml:space="preserve"> text messages). Other participants </w:t>
      </w:r>
      <w:r>
        <w:rPr>
          <w:lang w:val="en-GB"/>
        </w:rPr>
        <w:t>displayed</w:t>
      </w:r>
      <w:r w:rsidR="00C43828" w:rsidRPr="00C43828">
        <w:rPr>
          <w:lang w:val="en-GB"/>
        </w:rPr>
        <w:t xml:space="preserve"> irregular trajectories. The </w:t>
      </w:r>
      <w:r w:rsidR="00C43828">
        <w:rPr>
          <w:lang w:val="en-GB"/>
        </w:rPr>
        <w:t xml:space="preserve">highest relative </w:t>
      </w:r>
      <w:r w:rsidR="00C43828" w:rsidRPr="00C43828">
        <w:rPr>
          <w:lang w:val="en-GB"/>
        </w:rPr>
        <w:t xml:space="preserve">loss of inertia </w:t>
      </w:r>
      <w:r w:rsidR="00C43828">
        <w:rPr>
          <w:lang w:val="en-GB"/>
        </w:rPr>
        <w:t>measure</w:t>
      </w:r>
      <w:r w:rsidR="00C43828" w:rsidRPr="00C43828">
        <w:rPr>
          <w:lang w:val="en-GB"/>
        </w:rPr>
        <w:t xml:space="preserve"> suggested a three-cluster solution</w:t>
      </w:r>
      <w:r w:rsidR="00045D65">
        <w:rPr>
          <w:lang w:val="en-GB"/>
        </w:rPr>
        <w:t>: cluster 1 = s</w:t>
      </w:r>
      <w:r w:rsidR="00E278CE">
        <w:rPr>
          <w:lang w:val="en-GB"/>
        </w:rPr>
        <w:t>table engagement</w:t>
      </w:r>
      <w:r w:rsidR="00335674">
        <w:rPr>
          <w:lang w:val="en-GB"/>
        </w:rPr>
        <w:t xml:space="preserve"> (SE)</w:t>
      </w:r>
      <w:r w:rsidR="00E278CE">
        <w:rPr>
          <w:lang w:val="en-GB"/>
        </w:rPr>
        <w:t xml:space="preserve">, </w:t>
      </w:r>
      <w:r w:rsidR="00045D65">
        <w:rPr>
          <w:lang w:val="en-GB"/>
        </w:rPr>
        <w:t>cluster 2 = d</w:t>
      </w:r>
      <w:r w:rsidR="00E278CE">
        <w:rPr>
          <w:lang w:val="en-GB"/>
        </w:rPr>
        <w:t>ecreasing engagement</w:t>
      </w:r>
      <w:r w:rsidR="00335674">
        <w:rPr>
          <w:lang w:val="en-GB"/>
        </w:rPr>
        <w:t xml:space="preserve"> (DE)</w:t>
      </w:r>
      <w:r w:rsidR="00E278CE">
        <w:rPr>
          <w:lang w:val="en-GB"/>
        </w:rPr>
        <w:t xml:space="preserve">, and </w:t>
      </w:r>
      <w:r w:rsidR="00045D65">
        <w:rPr>
          <w:lang w:val="en-GB"/>
        </w:rPr>
        <w:t>c</w:t>
      </w:r>
      <w:r w:rsidR="00E278CE">
        <w:rPr>
          <w:lang w:val="en-GB"/>
        </w:rPr>
        <w:t>luster 3 = stable non-engagement</w:t>
      </w:r>
      <w:r w:rsidR="00335674">
        <w:rPr>
          <w:lang w:val="en-GB"/>
        </w:rPr>
        <w:t xml:space="preserve"> (SNE)</w:t>
      </w:r>
      <w:r w:rsidR="00C43828" w:rsidRPr="00C43828">
        <w:rPr>
          <w:lang w:val="en-GB"/>
        </w:rPr>
        <w:t xml:space="preserve">. </w:t>
      </w:r>
      <w:r w:rsidR="00C43828">
        <w:rPr>
          <w:lang w:val="en-GB"/>
        </w:rPr>
        <w:t xml:space="preserve">Based on the </w:t>
      </w:r>
      <w:r w:rsidRPr="00091877">
        <w:rPr>
          <w:lang w:val="en-GB"/>
        </w:rPr>
        <w:t>average silhouette width</w:t>
      </w:r>
      <w:r>
        <w:rPr>
          <w:lang w:val="en-GB"/>
        </w:rPr>
        <w:t xml:space="preserve"> (ASW)</w:t>
      </w:r>
      <w:r w:rsidR="00C43828">
        <w:rPr>
          <w:lang w:val="en-GB"/>
        </w:rPr>
        <w:t>, the quality of the three cluster</w:t>
      </w:r>
      <w:r>
        <w:rPr>
          <w:lang w:val="en-GB"/>
        </w:rPr>
        <w:t>s</w:t>
      </w:r>
      <w:r w:rsidR="00C43828">
        <w:rPr>
          <w:lang w:val="en-GB"/>
        </w:rPr>
        <w:t xml:space="preserve"> </w:t>
      </w:r>
      <w:r>
        <w:rPr>
          <w:lang w:val="en-GB"/>
        </w:rPr>
        <w:t>ranged from</w:t>
      </w:r>
      <w:r w:rsidR="00C43828">
        <w:rPr>
          <w:lang w:val="en-GB"/>
        </w:rPr>
        <w:t xml:space="preserve"> </w:t>
      </w:r>
      <w:r w:rsidR="00335674">
        <w:rPr>
          <w:lang w:val="en-GB"/>
        </w:rPr>
        <w:t>poor</w:t>
      </w:r>
      <w:r w:rsidR="00C43828">
        <w:rPr>
          <w:lang w:val="en-GB"/>
        </w:rPr>
        <w:t xml:space="preserve"> (</w:t>
      </w:r>
      <w:r w:rsidR="00045D65">
        <w:rPr>
          <w:lang w:val="en-GB"/>
        </w:rPr>
        <w:t>c</w:t>
      </w:r>
      <w:r w:rsidR="00335674">
        <w:rPr>
          <w:lang w:val="en-GB"/>
        </w:rPr>
        <w:t>luster 2</w:t>
      </w:r>
      <w:r w:rsidR="00C43828">
        <w:rPr>
          <w:lang w:val="en-GB"/>
        </w:rPr>
        <w:t xml:space="preserve"> = </w:t>
      </w:r>
      <w:r w:rsidR="002113C6">
        <w:rPr>
          <w:lang w:val="en-GB"/>
        </w:rPr>
        <w:t>-0.02</w:t>
      </w:r>
      <w:r w:rsidR="00C43828">
        <w:rPr>
          <w:lang w:val="en-GB"/>
        </w:rPr>
        <w:t>)</w:t>
      </w:r>
      <w:r w:rsidR="002075D8">
        <w:rPr>
          <w:lang w:val="en-GB"/>
        </w:rPr>
        <w:t xml:space="preserve"> to</w:t>
      </w:r>
      <w:r w:rsidR="002113C6">
        <w:rPr>
          <w:lang w:val="en-GB"/>
        </w:rPr>
        <w:t xml:space="preserve"> good (</w:t>
      </w:r>
      <w:r w:rsidR="00045D65">
        <w:rPr>
          <w:lang w:val="en-GB"/>
        </w:rPr>
        <w:t>cluster</w:t>
      </w:r>
      <w:r w:rsidR="002113C6">
        <w:rPr>
          <w:lang w:val="en-GB"/>
        </w:rPr>
        <w:t xml:space="preserve"> 1 = 0.55) and</w:t>
      </w:r>
      <w:r w:rsidR="002075D8">
        <w:rPr>
          <w:lang w:val="en-GB"/>
        </w:rPr>
        <w:t xml:space="preserve"> </w:t>
      </w:r>
      <w:r w:rsidR="00740C53">
        <w:rPr>
          <w:lang w:val="en-GB"/>
        </w:rPr>
        <w:t>excellent</w:t>
      </w:r>
      <w:r w:rsidR="00045D65">
        <w:rPr>
          <w:lang w:val="en-GB"/>
        </w:rPr>
        <w:t xml:space="preserve"> (c</w:t>
      </w:r>
      <w:r w:rsidR="002075D8">
        <w:rPr>
          <w:lang w:val="en-GB"/>
        </w:rPr>
        <w:t xml:space="preserve">luster 3 = </w:t>
      </w:r>
      <w:r w:rsidR="002113C6">
        <w:rPr>
          <w:lang w:val="en-GB"/>
        </w:rPr>
        <w:t>0.70</w:t>
      </w:r>
      <w:r w:rsidR="002075D8">
        <w:rPr>
          <w:lang w:val="en-GB"/>
        </w:rPr>
        <w:t>)</w:t>
      </w:r>
      <w:r w:rsidR="00C43828">
        <w:rPr>
          <w:lang w:val="en-GB"/>
        </w:rPr>
        <w:t>.</w:t>
      </w:r>
      <w:r w:rsidR="00045D65">
        <w:rPr>
          <w:lang w:val="en-GB"/>
        </w:rPr>
        <w:t xml:space="preserve"> The low ASW for c</w:t>
      </w:r>
      <w:r w:rsidR="00335674">
        <w:rPr>
          <w:lang w:val="en-GB"/>
        </w:rPr>
        <w:t>luster 2</w:t>
      </w:r>
      <w:r w:rsidR="00C43828">
        <w:rPr>
          <w:lang w:val="en-GB"/>
        </w:rPr>
        <w:t xml:space="preserve"> was </w:t>
      </w:r>
      <w:r>
        <w:rPr>
          <w:lang w:val="en-GB"/>
        </w:rPr>
        <w:t xml:space="preserve">because the </w:t>
      </w:r>
      <w:r w:rsidR="00C43828">
        <w:rPr>
          <w:lang w:val="en-GB"/>
        </w:rPr>
        <w:t xml:space="preserve">engagement trajectories </w:t>
      </w:r>
      <w:r>
        <w:rPr>
          <w:lang w:val="en-GB"/>
        </w:rPr>
        <w:t xml:space="preserve">included within the cluster </w:t>
      </w:r>
      <w:r w:rsidR="00C43828">
        <w:rPr>
          <w:lang w:val="en-GB"/>
        </w:rPr>
        <w:t xml:space="preserve">differed to a great extent. </w:t>
      </w:r>
      <w:r w:rsidR="00335674" w:rsidRPr="00C43828">
        <w:rPr>
          <w:lang w:val="en-GB"/>
        </w:rPr>
        <w:t xml:space="preserve">Some </w:t>
      </w:r>
      <w:r w:rsidR="00321A7C">
        <w:rPr>
          <w:lang w:val="en-GB"/>
        </w:rPr>
        <w:t xml:space="preserve">subjects </w:t>
      </w:r>
      <w:r w:rsidR="00335674" w:rsidRPr="00C43828">
        <w:rPr>
          <w:lang w:val="en-GB"/>
        </w:rPr>
        <w:t xml:space="preserve">answered text messages only </w:t>
      </w:r>
      <w:r w:rsidR="00B92807">
        <w:rPr>
          <w:lang w:val="en-GB"/>
        </w:rPr>
        <w:t>in</w:t>
      </w:r>
      <w:r w:rsidR="00335674" w:rsidRPr="00C43828">
        <w:rPr>
          <w:lang w:val="en-GB"/>
        </w:rPr>
        <w:t xml:space="preserve"> the beginning</w:t>
      </w:r>
      <w:r w:rsidR="00B92807">
        <w:rPr>
          <w:lang w:val="en-GB"/>
        </w:rPr>
        <w:t>,</w:t>
      </w:r>
      <w:r w:rsidR="00335674" w:rsidRPr="00C43828">
        <w:rPr>
          <w:lang w:val="en-GB"/>
        </w:rPr>
        <w:t xml:space="preserve"> while others answered depending on the topic. There were also </w:t>
      </w:r>
      <w:r w:rsidR="00B92807">
        <w:rPr>
          <w:lang w:val="en-GB"/>
        </w:rPr>
        <w:t xml:space="preserve">some </w:t>
      </w:r>
      <w:r w:rsidR="00335674" w:rsidRPr="00C43828">
        <w:rPr>
          <w:lang w:val="en-GB"/>
        </w:rPr>
        <w:t xml:space="preserve">participants who </w:t>
      </w:r>
      <w:r w:rsidR="00B92807">
        <w:rPr>
          <w:lang w:val="en-GB"/>
        </w:rPr>
        <w:t xml:space="preserve">only </w:t>
      </w:r>
      <w:r w:rsidR="00335674" w:rsidRPr="00C43828">
        <w:rPr>
          <w:lang w:val="en-GB"/>
        </w:rPr>
        <w:t>started to answer text mess</w:t>
      </w:r>
      <w:r w:rsidR="00335674">
        <w:rPr>
          <w:lang w:val="en-GB"/>
        </w:rPr>
        <w:t>ages at the end of the pr</w:t>
      </w:r>
      <w:r w:rsidR="00E61736">
        <w:rPr>
          <w:lang w:val="en-GB"/>
        </w:rPr>
        <w:t>ogram (Fig. 1</w:t>
      </w:r>
      <w:r w:rsidR="002806AA">
        <w:rPr>
          <w:lang w:val="en-GB"/>
        </w:rPr>
        <w:t>). Since the</w:t>
      </w:r>
      <w:r w:rsidR="00335674">
        <w:rPr>
          <w:lang w:val="en-GB"/>
        </w:rPr>
        <w:t xml:space="preserve"> common element </w:t>
      </w:r>
      <w:r w:rsidR="00B92807">
        <w:rPr>
          <w:lang w:val="en-GB"/>
        </w:rPr>
        <w:t xml:space="preserve">within all </w:t>
      </w:r>
      <w:r w:rsidR="002806AA">
        <w:rPr>
          <w:lang w:val="en-GB"/>
        </w:rPr>
        <w:t xml:space="preserve">these trajectories </w:t>
      </w:r>
      <w:r w:rsidR="00D05234">
        <w:rPr>
          <w:lang w:val="en-GB"/>
        </w:rPr>
        <w:t xml:space="preserve">included in cluster 2 </w:t>
      </w:r>
      <w:r w:rsidR="00335674">
        <w:rPr>
          <w:lang w:val="en-GB"/>
        </w:rPr>
        <w:t>is their instability, the three-cluster solution was considered adequate</w:t>
      </w:r>
      <w:r w:rsidR="002806AA">
        <w:rPr>
          <w:lang w:val="en-GB"/>
        </w:rPr>
        <w:t xml:space="preserve"> for the purpose</w:t>
      </w:r>
      <w:r w:rsidR="00B92807">
        <w:rPr>
          <w:lang w:val="en-GB"/>
        </w:rPr>
        <w:t>s</w:t>
      </w:r>
      <w:r w:rsidR="002806AA">
        <w:rPr>
          <w:lang w:val="en-GB"/>
        </w:rPr>
        <w:t xml:space="preserve"> of this study</w:t>
      </w:r>
      <w:r w:rsidR="00335674">
        <w:rPr>
          <w:lang w:val="en-GB"/>
        </w:rPr>
        <w:t xml:space="preserve">.  </w:t>
      </w:r>
    </w:p>
    <w:p w14:paraId="4864B174" w14:textId="2B8485B0" w:rsidR="00C43828" w:rsidRDefault="00C43828" w:rsidP="00316DAC">
      <w:pPr>
        <w:spacing w:line="480" w:lineRule="auto"/>
        <w:ind w:firstLine="426"/>
        <w:rPr>
          <w:lang w:val="en-GB"/>
        </w:rPr>
      </w:pPr>
      <w:r w:rsidRPr="00C43828">
        <w:rPr>
          <w:lang w:val="en-GB"/>
        </w:rPr>
        <w:t>Figure</w:t>
      </w:r>
      <w:r w:rsidR="00B92807">
        <w:rPr>
          <w:lang w:val="en-GB"/>
        </w:rPr>
        <w:t>s</w:t>
      </w:r>
      <w:r w:rsidRPr="00C43828">
        <w:rPr>
          <w:lang w:val="en-GB"/>
        </w:rPr>
        <w:t xml:space="preserve"> 1 and 2 describe the </w:t>
      </w:r>
      <w:r w:rsidR="00335674">
        <w:rPr>
          <w:lang w:val="en-GB"/>
        </w:rPr>
        <w:t>three</w:t>
      </w:r>
      <w:r w:rsidRPr="00C43828">
        <w:rPr>
          <w:lang w:val="en-GB"/>
        </w:rPr>
        <w:t xml:space="preserve"> clusters in different ways. The fi</w:t>
      </w:r>
      <w:r w:rsidR="002E4801">
        <w:rPr>
          <w:lang w:val="en-GB"/>
        </w:rPr>
        <w:t>r</w:t>
      </w:r>
      <w:r w:rsidRPr="00C43828">
        <w:rPr>
          <w:lang w:val="en-GB"/>
        </w:rPr>
        <w:t xml:space="preserve">st figure displays </w:t>
      </w:r>
      <w:r w:rsidR="0032272D">
        <w:rPr>
          <w:lang w:val="en-GB"/>
        </w:rPr>
        <w:t xml:space="preserve">the response or non-response of individuals to </w:t>
      </w:r>
      <w:r w:rsidR="00A50322">
        <w:rPr>
          <w:lang w:val="en-GB"/>
        </w:rPr>
        <w:t xml:space="preserve">each of </w:t>
      </w:r>
      <w:r w:rsidR="0032272D">
        <w:rPr>
          <w:lang w:val="en-GB"/>
        </w:rPr>
        <w:t xml:space="preserve">the eleven prompts within </w:t>
      </w:r>
      <w:r w:rsidR="00A36108">
        <w:rPr>
          <w:lang w:val="en-GB"/>
        </w:rPr>
        <w:t>the different clusters</w:t>
      </w:r>
      <w:r w:rsidRPr="00C43828">
        <w:rPr>
          <w:lang w:val="en-GB"/>
        </w:rPr>
        <w:t xml:space="preserve">. Figure 2 </w:t>
      </w:r>
      <w:r w:rsidR="00E221C6">
        <w:rPr>
          <w:lang w:val="en-GB"/>
        </w:rPr>
        <w:t>highlights</w:t>
      </w:r>
      <w:r w:rsidRPr="00C43828">
        <w:rPr>
          <w:lang w:val="en-GB"/>
        </w:rPr>
        <w:t xml:space="preserve"> the protot</w:t>
      </w:r>
      <w:r w:rsidR="0032272D">
        <w:rPr>
          <w:lang w:val="en-GB"/>
        </w:rPr>
        <w:t xml:space="preserve">ype engagement trajectory within </w:t>
      </w:r>
      <w:r w:rsidRPr="00C43828">
        <w:rPr>
          <w:lang w:val="en-GB"/>
        </w:rPr>
        <w:t xml:space="preserve">each of the </w:t>
      </w:r>
      <w:r w:rsidR="0032272D">
        <w:rPr>
          <w:lang w:val="en-GB"/>
        </w:rPr>
        <w:t>three</w:t>
      </w:r>
      <w:r w:rsidRPr="00C43828">
        <w:rPr>
          <w:lang w:val="en-GB"/>
        </w:rPr>
        <w:t xml:space="preserve"> </w:t>
      </w:r>
      <w:r w:rsidRPr="00C43828">
        <w:rPr>
          <w:lang w:val="en-GB"/>
        </w:rPr>
        <w:lastRenderedPageBreak/>
        <w:t>clusters.</w:t>
      </w:r>
      <w:r w:rsidR="0032272D">
        <w:rPr>
          <w:lang w:val="en-GB"/>
        </w:rPr>
        <w:t xml:space="preserve"> The typical p</w:t>
      </w:r>
      <w:r w:rsidRPr="00C43828">
        <w:rPr>
          <w:lang w:val="en-GB"/>
        </w:rPr>
        <w:t>artic</w:t>
      </w:r>
      <w:r w:rsidR="0032272D">
        <w:rPr>
          <w:lang w:val="en-GB"/>
        </w:rPr>
        <w:t>ipant</w:t>
      </w:r>
      <w:r w:rsidR="00335674">
        <w:rPr>
          <w:lang w:val="en-GB"/>
        </w:rPr>
        <w:t xml:space="preserve"> within cluster 1 (SE)</w:t>
      </w:r>
      <w:r w:rsidRPr="00C43828">
        <w:rPr>
          <w:lang w:val="en-GB"/>
        </w:rPr>
        <w:t xml:space="preserve"> answered</w:t>
      </w:r>
      <w:r w:rsidR="00112978">
        <w:rPr>
          <w:lang w:val="en-GB"/>
        </w:rPr>
        <w:t xml:space="preserve"> to</w:t>
      </w:r>
      <w:r w:rsidRPr="00C43828">
        <w:rPr>
          <w:lang w:val="en-GB"/>
        </w:rPr>
        <w:t xml:space="preserve"> </w:t>
      </w:r>
      <w:r w:rsidR="00B92807">
        <w:rPr>
          <w:lang w:val="en-GB"/>
        </w:rPr>
        <w:t xml:space="preserve">almost </w:t>
      </w:r>
      <w:r w:rsidRPr="00C43828">
        <w:rPr>
          <w:lang w:val="en-GB"/>
        </w:rPr>
        <w:t>all text messages</w:t>
      </w:r>
      <w:r w:rsidR="00DD625F">
        <w:rPr>
          <w:lang w:val="en-GB"/>
        </w:rPr>
        <w:t>,</w:t>
      </w:r>
      <w:r w:rsidRPr="00C43828">
        <w:rPr>
          <w:lang w:val="en-GB"/>
        </w:rPr>
        <w:t xml:space="preserve"> except for the second request to send their own message to motivate other participant</w:t>
      </w:r>
      <w:r w:rsidR="00DD625F">
        <w:rPr>
          <w:lang w:val="en-GB"/>
        </w:rPr>
        <w:t xml:space="preserve">s to quit smoking or </w:t>
      </w:r>
      <w:r w:rsidR="00B92807">
        <w:rPr>
          <w:lang w:val="en-GB"/>
        </w:rPr>
        <w:t xml:space="preserve">remain cigarette </w:t>
      </w:r>
      <w:r w:rsidR="00DD625F" w:rsidRPr="00C43828">
        <w:rPr>
          <w:lang w:val="en-GB"/>
        </w:rPr>
        <w:t>free</w:t>
      </w:r>
      <w:r w:rsidRPr="00C43828">
        <w:rPr>
          <w:lang w:val="en-GB"/>
        </w:rPr>
        <w:t xml:space="preserve">. </w:t>
      </w:r>
      <w:r w:rsidR="0032272D">
        <w:rPr>
          <w:lang w:val="en-GB"/>
        </w:rPr>
        <w:t>The typical p</w:t>
      </w:r>
      <w:r w:rsidR="00DD625F">
        <w:rPr>
          <w:lang w:val="en-GB"/>
        </w:rPr>
        <w:t>articipant</w:t>
      </w:r>
      <w:r w:rsidRPr="00C43828">
        <w:rPr>
          <w:lang w:val="en-GB"/>
        </w:rPr>
        <w:t xml:space="preserve"> within cluster 3 (</w:t>
      </w:r>
      <w:r w:rsidR="003D7CED">
        <w:rPr>
          <w:lang w:val="en-GB"/>
        </w:rPr>
        <w:t>SNE</w:t>
      </w:r>
      <w:r w:rsidRPr="00C43828">
        <w:rPr>
          <w:lang w:val="en-GB"/>
        </w:rPr>
        <w:t xml:space="preserve">) did </w:t>
      </w:r>
      <w:r w:rsidR="003D7CED">
        <w:rPr>
          <w:lang w:val="en-GB"/>
        </w:rPr>
        <w:t xml:space="preserve">not </w:t>
      </w:r>
      <w:r w:rsidR="00B92807">
        <w:rPr>
          <w:lang w:val="en-GB"/>
        </w:rPr>
        <w:t xml:space="preserve">respond </w:t>
      </w:r>
      <w:r w:rsidR="00DD0F08">
        <w:rPr>
          <w:lang w:val="en-GB"/>
        </w:rPr>
        <w:t xml:space="preserve">to </w:t>
      </w:r>
      <w:r w:rsidR="00B92807">
        <w:rPr>
          <w:lang w:val="en-GB"/>
        </w:rPr>
        <w:t xml:space="preserve">any of </w:t>
      </w:r>
      <w:r w:rsidR="00DD0F08">
        <w:rPr>
          <w:lang w:val="en-GB"/>
        </w:rPr>
        <w:t>the prompts</w:t>
      </w:r>
      <w:r w:rsidR="003D7CED">
        <w:rPr>
          <w:lang w:val="en-GB"/>
        </w:rPr>
        <w:t xml:space="preserve">. </w:t>
      </w:r>
      <w:r w:rsidR="00B92807">
        <w:rPr>
          <w:lang w:val="en-GB"/>
        </w:rPr>
        <w:t>Meanwhile, t</w:t>
      </w:r>
      <w:r w:rsidR="0032272D">
        <w:rPr>
          <w:lang w:val="en-GB"/>
        </w:rPr>
        <w:t>he typical p</w:t>
      </w:r>
      <w:r w:rsidR="00DD0F08">
        <w:rPr>
          <w:lang w:val="en-GB"/>
        </w:rPr>
        <w:t>articipant</w:t>
      </w:r>
      <w:r w:rsidRPr="00C43828">
        <w:rPr>
          <w:lang w:val="en-GB"/>
        </w:rPr>
        <w:t xml:space="preserve"> within cluster 2 (</w:t>
      </w:r>
      <w:r w:rsidR="003D7CED">
        <w:rPr>
          <w:lang w:val="en-GB"/>
        </w:rPr>
        <w:t>DE</w:t>
      </w:r>
      <w:r w:rsidRPr="00C43828">
        <w:rPr>
          <w:lang w:val="en-GB"/>
        </w:rPr>
        <w:t xml:space="preserve">) did not </w:t>
      </w:r>
      <w:r w:rsidR="00B92807">
        <w:rPr>
          <w:lang w:val="en-GB"/>
        </w:rPr>
        <w:t>reply</w:t>
      </w:r>
      <w:r w:rsidR="00B92807" w:rsidRPr="00C43828">
        <w:rPr>
          <w:lang w:val="en-GB"/>
        </w:rPr>
        <w:t xml:space="preserve"> </w:t>
      </w:r>
      <w:r w:rsidRPr="00C43828">
        <w:rPr>
          <w:lang w:val="en-GB"/>
        </w:rPr>
        <w:t>to the two message contests</w:t>
      </w:r>
      <w:r w:rsidR="00B92807">
        <w:rPr>
          <w:lang w:val="en-GB"/>
        </w:rPr>
        <w:t>,</w:t>
      </w:r>
      <w:r w:rsidR="0032272D">
        <w:rPr>
          <w:lang w:val="en-GB"/>
        </w:rPr>
        <w:t xml:space="preserve"> and </w:t>
      </w:r>
      <w:r w:rsidR="00B92807">
        <w:rPr>
          <w:lang w:val="en-GB"/>
        </w:rPr>
        <w:t xml:space="preserve">exhibited a steadily-decreasing </w:t>
      </w:r>
      <w:r w:rsidRPr="00C43828">
        <w:rPr>
          <w:lang w:val="en-GB"/>
        </w:rPr>
        <w:t xml:space="preserve">response rate. This </w:t>
      </w:r>
      <w:r w:rsidR="00B92807">
        <w:rPr>
          <w:lang w:val="en-GB"/>
        </w:rPr>
        <w:t xml:space="preserve">last pattern </w:t>
      </w:r>
      <w:r w:rsidRPr="00C43828">
        <w:rPr>
          <w:lang w:val="en-GB"/>
        </w:rPr>
        <w:t xml:space="preserve">is associated with the repetition of </w:t>
      </w:r>
      <w:r w:rsidR="0032272D">
        <w:rPr>
          <w:lang w:val="en-GB"/>
        </w:rPr>
        <w:t xml:space="preserve">questions, </w:t>
      </w:r>
      <w:r w:rsidR="00B92807">
        <w:rPr>
          <w:lang w:val="en-GB"/>
        </w:rPr>
        <w:t xml:space="preserve">like queries relating to the person’s </w:t>
      </w:r>
      <w:r w:rsidR="008A64AD">
        <w:rPr>
          <w:lang w:val="en-GB"/>
        </w:rPr>
        <w:t>HAPA</w:t>
      </w:r>
      <w:r w:rsidR="00B92807">
        <w:rPr>
          <w:lang w:val="en-GB"/>
        </w:rPr>
        <w:t xml:space="preserve"> </w:t>
      </w:r>
      <w:r w:rsidR="008A64AD">
        <w:rPr>
          <w:lang w:val="en-GB"/>
        </w:rPr>
        <w:t>stage</w:t>
      </w:r>
      <w:r w:rsidR="00B92807">
        <w:rPr>
          <w:lang w:val="en-GB"/>
        </w:rPr>
        <w:t xml:space="preserve"> of change </w:t>
      </w:r>
      <w:r w:rsidR="008A64AD">
        <w:rPr>
          <w:lang w:val="en-GB"/>
        </w:rPr>
        <w:t xml:space="preserve">and </w:t>
      </w:r>
      <w:r w:rsidR="00FD6F6F">
        <w:rPr>
          <w:lang w:val="en-GB"/>
        </w:rPr>
        <w:t>cigarettes per day/per week (</w:t>
      </w:r>
      <w:r w:rsidR="008A64AD">
        <w:rPr>
          <w:lang w:val="en-GB"/>
        </w:rPr>
        <w:t>CPD/CPW</w:t>
      </w:r>
      <w:r w:rsidR="00FD6F6F">
        <w:rPr>
          <w:lang w:val="en-GB"/>
        </w:rPr>
        <w:t>)</w:t>
      </w:r>
      <w:r w:rsidRPr="00C43828">
        <w:rPr>
          <w:lang w:val="en-GB"/>
        </w:rPr>
        <w:t xml:space="preserve">.    </w:t>
      </w:r>
    </w:p>
    <w:p w14:paraId="59F87D37" w14:textId="77777777" w:rsidR="00D360A8" w:rsidRDefault="00D360A8" w:rsidP="00D360A8">
      <w:pPr>
        <w:spacing w:line="480" w:lineRule="auto"/>
        <w:rPr>
          <w:lang w:val="en-GB"/>
        </w:rPr>
      </w:pPr>
    </w:p>
    <w:p w14:paraId="27081543" w14:textId="495CFA10" w:rsidR="00AA1E4B" w:rsidRDefault="004E691B" w:rsidP="0064688E">
      <w:pPr>
        <w:spacing w:after="240" w:line="480" w:lineRule="auto"/>
        <w:rPr>
          <w:lang w:val="en-GB"/>
        </w:rPr>
      </w:pPr>
      <w:r>
        <w:rPr>
          <w:noProof/>
          <w:lang w:val="de-CH" w:eastAsia="de-CH"/>
        </w:rPr>
        <w:lastRenderedPageBreak/>
        <w:drawing>
          <wp:anchor distT="0" distB="0" distL="114300" distR="114300" simplePos="0" relativeHeight="251661312" behindDoc="1" locked="0" layoutInCell="1" allowOverlap="1" wp14:anchorId="53E67D9F" wp14:editId="5221E78B">
            <wp:simplePos x="0" y="0"/>
            <wp:positionH relativeFrom="margin">
              <wp:align>left</wp:align>
            </wp:positionH>
            <wp:positionV relativeFrom="paragraph">
              <wp:posOffset>1137285</wp:posOffset>
            </wp:positionV>
            <wp:extent cx="5991225" cy="6794500"/>
            <wp:effectExtent l="0" t="0" r="9525"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quenzen.png"/>
                    <pic:cNvPicPr/>
                  </pic:nvPicPr>
                  <pic:blipFill>
                    <a:blip r:embed="rId8">
                      <a:extLst>
                        <a:ext uri="{28A0092B-C50C-407E-A947-70E740481C1C}">
                          <a14:useLocalDpi xmlns:a14="http://schemas.microsoft.com/office/drawing/2010/main" val="0"/>
                        </a:ext>
                      </a:extLst>
                    </a:blip>
                    <a:stretch>
                      <a:fillRect/>
                    </a:stretch>
                  </pic:blipFill>
                  <pic:spPr>
                    <a:xfrm>
                      <a:off x="0" y="0"/>
                      <a:ext cx="5991225" cy="6794500"/>
                    </a:xfrm>
                    <a:prstGeom prst="rect">
                      <a:avLst/>
                    </a:prstGeom>
                  </pic:spPr>
                </pic:pic>
              </a:graphicData>
            </a:graphic>
            <wp14:sizeRelH relativeFrom="margin">
              <wp14:pctWidth>0</wp14:pctWidth>
            </wp14:sizeRelH>
            <wp14:sizeRelV relativeFrom="margin">
              <wp14:pctHeight>0</wp14:pctHeight>
            </wp14:sizeRelV>
          </wp:anchor>
        </w:drawing>
      </w:r>
      <w:r w:rsidR="00186C2C" w:rsidRPr="002840A4">
        <w:rPr>
          <w:lang w:val="en-GB"/>
        </w:rPr>
        <w:t xml:space="preserve">Figure 1: </w:t>
      </w:r>
      <w:r w:rsidR="00186C2C">
        <w:rPr>
          <w:lang w:val="en-GB"/>
        </w:rPr>
        <w:t>Individual engagement trajectories within each of the three clusters</w:t>
      </w:r>
      <w:r w:rsidR="00F97A38">
        <w:rPr>
          <w:lang w:val="en-GB"/>
        </w:rPr>
        <w:t xml:space="preserve">. Rows represent participants, columns represent the 11 prompts which could be answered by the participants.  Black boxes represent </w:t>
      </w:r>
      <w:r>
        <w:rPr>
          <w:lang w:val="en-GB"/>
        </w:rPr>
        <w:t>non-replies</w:t>
      </w:r>
      <w:r w:rsidR="00F97A38">
        <w:rPr>
          <w:lang w:val="en-GB"/>
        </w:rPr>
        <w:t xml:space="preserve">, grey boxes </w:t>
      </w:r>
      <w:r>
        <w:rPr>
          <w:lang w:val="en-GB"/>
        </w:rPr>
        <w:t>replies</w:t>
      </w:r>
      <w:r w:rsidR="00F97A38">
        <w:rPr>
          <w:lang w:val="en-GB"/>
        </w:rPr>
        <w:t xml:space="preserve">. </w:t>
      </w:r>
    </w:p>
    <w:p w14:paraId="7C247B0F" w14:textId="77777777" w:rsidR="00B92807" w:rsidRDefault="00B92807">
      <w:pPr>
        <w:rPr>
          <w:lang w:val="en-GB"/>
        </w:rPr>
      </w:pPr>
      <w:r>
        <w:rPr>
          <w:lang w:val="en-GB"/>
        </w:rPr>
        <w:br w:type="page"/>
      </w:r>
    </w:p>
    <w:p w14:paraId="1E91F8D8" w14:textId="77777777" w:rsidR="00B92807" w:rsidRDefault="00B92807" w:rsidP="00D360A8">
      <w:pPr>
        <w:spacing w:line="480" w:lineRule="auto"/>
        <w:rPr>
          <w:lang w:val="en-GB"/>
        </w:rPr>
      </w:pPr>
    </w:p>
    <w:p w14:paraId="75B2D7FF" w14:textId="4DBF9FD3" w:rsidR="00D360A8" w:rsidRPr="00F14EF3" w:rsidRDefault="00DA3615" w:rsidP="00A162B1">
      <w:pPr>
        <w:spacing w:line="480" w:lineRule="auto"/>
        <w:rPr>
          <w:lang w:val="en-GB"/>
        </w:rPr>
      </w:pPr>
      <w:r>
        <w:rPr>
          <w:noProof/>
          <w:lang w:val="de-CH" w:eastAsia="de-CH"/>
        </w:rPr>
        <mc:AlternateContent>
          <mc:Choice Requires="wps">
            <w:drawing>
              <wp:anchor distT="45720" distB="45720" distL="114300" distR="114300" simplePos="0" relativeHeight="251663360" behindDoc="0" locked="0" layoutInCell="1" allowOverlap="1" wp14:anchorId="2E7841C1" wp14:editId="51087D66">
                <wp:simplePos x="0" y="0"/>
                <wp:positionH relativeFrom="margin">
                  <wp:align>center</wp:align>
                </wp:positionH>
                <wp:positionV relativeFrom="margin">
                  <wp:align>center</wp:align>
                </wp:positionV>
                <wp:extent cx="5439410" cy="6305550"/>
                <wp:effectExtent l="3175" t="0" r="0" b="127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630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6F444" w14:textId="59187E87" w:rsidR="00786017" w:rsidRDefault="00786017">
                            <w:r>
                              <w:rPr>
                                <w:noProof/>
                                <w:lang w:val="de-CH" w:eastAsia="de-CH"/>
                              </w:rPr>
                              <w:drawing>
                                <wp:inline distT="0" distB="0" distL="0" distR="0" wp14:anchorId="1BBAD87D" wp14:editId="7B1AB5D2">
                                  <wp:extent cx="4524375" cy="19922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resentative Type1_2.png"/>
                                          <pic:cNvPicPr/>
                                        </pic:nvPicPr>
                                        <pic:blipFill>
                                          <a:blip r:embed="rId9">
                                            <a:extLst>
                                              <a:ext uri="{28A0092B-C50C-407E-A947-70E740481C1C}">
                                                <a14:useLocalDpi xmlns:a14="http://schemas.microsoft.com/office/drawing/2010/main" val="0"/>
                                              </a:ext>
                                            </a:extLst>
                                          </a:blip>
                                          <a:stretch>
                                            <a:fillRect/>
                                          </a:stretch>
                                        </pic:blipFill>
                                        <pic:spPr>
                                          <a:xfrm>
                                            <a:off x="0" y="0"/>
                                            <a:ext cx="4547633" cy="2002449"/>
                                          </a:xfrm>
                                          <a:prstGeom prst="rect">
                                            <a:avLst/>
                                          </a:prstGeom>
                                        </pic:spPr>
                                      </pic:pic>
                                    </a:graphicData>
                                  </a:graphic>
                                </wp:inline>
                              </w:drawing>
                            </w:r>
                          </w:p>
                          <w:p w14:paraId="1B170366" w14:textId="18AEAD30" w:rsidR="00786017" w:rsidRDefault="00786017" w:rsidP="00DA3615">
                            <w:pPr>
                              <w:spacing w:before="240"/>
                            </w:pPr>
                            <w:r>
                              <w:rPr>
                                <w:noProof/>
                                <w:lang w:val="de-CH" w:eastAsia="de-CH"/>
                              </w:rPr>
                              <w:drawing>
                                <wp:inline distT="0" distB="0" distL="0" distR="0" wp14:anchorId="0036BA52" wp14:editId="09EAD619">
                                  <wp:extent cx="4562475" cy="201314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resentative Type2_2.png"/>
                                          <pic:cNvPicPr/>
                                        </pic:nvPicPr>
                                        <pic:blipFill>
                                          <a:blip r:embed="rId10">
                                            <a:extLst>
                                              <a:ext uri="{28A0092B-C50C-407E-A947-70E740481C1C}">
                                                <a14:useLocalDpi xmlns:a14="http://schemas.microsoft.com/office/drawing/2010/main" val="0"/>
                                              </a:ext>
                                            </a:extLst>
                                          </a:blip>
                                          <a:stretch>
                                            <a:fillRect/>
                                          </a:stretch>
                                        </pic:blipFill>
                                        <pic:spPr>
                                          <a:xfrm>
                                            <a:off x="0" y="0"/>
                                            <a:ext cx="4588300" cy="2024537"/>
                                          </a:xfrm>
                                          <a:prstGeom prst="rect">
                                            <a:avLst/>
                                          </a:prstGeom>
                                        </pic:spPr>
                                      </pic:pic>
                                    </a:graphicData>
                                  </a:graphic>
                                </wp:inline>
                              </w:drawing>
                            </w:r>
                          </w:p>
                          <w:p w14:paraId="39AE0632" w14:textId="2D376BFA" w:rsidR="00786017" w:rsidRDefault="00786017" w:rsidP="00DA3615">
                            <w:pPr>
                              <w:spacing w:before="240"/>
                            </w:pPr>
                            <w:r>
                              <w:rPr>
                                <w:noProof/>
                                <w:lang w:val="de-CH" w:eastAsia="de-CH"/>
                              </w:rPr>
                              <w:drawing>
                                <wp:inline distT="0" distB="0" distL="0" distR="0" wp14:anchorId="42362672" wp14:editId="0FC982F7">
                                  <wp:extent cx="4685515" cy="18002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resentative Type3_2.png"/>
                                          <pic:cNvPicPr/>
                                        </pic:nvPicPr>
                                        <pic:blipFill>
                                          <a:blip r:embed="rId11">
                                            <a:extLst>
                                              <a:ext uri="{28A0092B-C50C-407E-A947-70E740481C1C}">
                                                <a14:useLocalDpi xmlns:a14="http://schemas.microsoft.com/office/drawing/2010/main" val="0"/>
                                              </a:ext>
                                            </a:extLst>
                                          </a:blip>
                                          <a:stretch>
                                            <a:fillRect/>
                                          </a:stretch>
                                        </pic:blipFill>
                                        <pic:spPr>
                                          <a:xfrm>
                                            <a:off x="0" y="0"/>
                                            <a:ext cx="4711899" cy="18103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841C1" id="_x0000_t202" coordsize="21600,21600" o:spt="202" path="m,l,21600r21600,l21600,xe">
                <v:stroke joinstyle="miter"/>
                <v:path gradientshapeok="t" o:connecttype="rect"/>
              </v:shapetype>
              <v:shape id="Textfeld 2" o:spid="_x0000_s1026" type="#_x0000_t202" style="position:absolute;margin-left:0;margin-top:0;width:428.3pt;height:496.5pt;z-index:25166336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vPhA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" stroked="f">
                <v:textbox>
                  <w:txbxContent>
                    <w:p w14:paraId="7F66F444" w14:textId="59187E87" w:rsidR="00786017" w:rsidRDefault="00786017">
                      <w:r>
                        <w:rPr>
                          <w:noProof/>
                          <w:lang w:val="de-CH" w:eastAsia="de-CH"/>
                        </w:rPr>
                        <w:drawing>
                          <wp:inline distT="0" distB="0" distL="0" distR="0" wp14:anchorId="1BBAD87D" wp14:editId="7B1AB5D2">
                            <wp:extent cx="4524375" cy="199220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resentative Type1_2.png"/>
                                    <pic:cNvPicPr/>
                                  </pic:nvPicPr>
                                  <pic:blipFill>
                                    <a:blip r:embed="rId14">
                                      <a:extLst>
                                        <a:ext uri="{28A0092B-C50C-407E-A947-70E740481C1C}">
                                          <a14:useLocalDpi xmlns:a14="http://schemas.microsoft.com/office/drawing/2010/main" val="0"/>
                                        </a:ext>
                                      </a:extLst>
                                    </a:blip>
                                    <a:stretch>
                                      <a:fillRect/>
                                    </a:stretch>
                                  </pic:blipFill>
                                  <pic:spPr>
                                    <a:xfrm>
                                      <a:off x="0" y="0"/>
                                      <a:ext cx="4547633" cy="2002449"/>
                                    </a:xfrm>
                                    <a:prstGeom prst="rect">
                                      <a:avLst/>
                                    </a:prstGeom>
                                  </pic:spPr>
                                </pic:pic>
                              </a:graphicData>
                            </a:graphic>
                          </wp:inline>
                        </w:drawing>
                      </w:r>
                    </w:p>
                    <w:p w14:paraId="1B170366" w14:textId="18AEAD30" w:rsidR="00786017" w:rsidRDefault="00786017" w:rsidP="00DA3615">
                      <w:pPr>
                        <w:spacing w:before="240"/>
                      </w:pPr>
                      <w:r>
                        <w:rPr>
                          <w:noProof/>
                          <w:lang w:val="de-CH" w:eastAsia="de-CH"/>
                        </w:rPr>
                        <w:drawing>
                          <wp:inline distT="0" distB="0" distL="0" distR="0" wp14:anchorId="0036BA52" wp14:editId="09EAD619">
                            <wp:extent cx="4562475" cy="201314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resentative Type2_2.png"/>
                                    <pic:cNvPicPr/>
                                  </pic:nvPicPr>
                                  <pic:blipFill>
                                    <a:blip r:embed="rId15">
                                      <a:extLst>
                                        <a:ext uri="{28A0092B-C50C-407E-A947-70E740481C1C}">
                                          <a14:useLocalDpi xmlns:a14="http://schemas.microsoft.com/office/drawing/2010/main" val="0"/>
                                        </a:ext>
                                      </a:extLst>
                                    </a:blip>
                                    <a:stretch>
                                      <a:fillRect/>
                                    </a:stretch>
                                  </pic:blipFill>
                                  <pic:spPr>
                                    <a:xfrm>
                                      <a:off x="0" y="0"/>
                                      <a:ext cx="4588300" cy="2024537"/>
                                    </a:xfrm>
                                    <a:prstGeom prst="rect">
                                      <a:avLst/>
                                    </a:prstGeom>
                                  </pic:spPr>
                                </pic:pic>
                              </a:graphicData>
                            </a:graphic>
                          </wp:inline>
                        </w:drawing>
                      </w:r>
                    </w:p>
                    <w:p w14:paraId="39AE0632" w14:textId="2D376BFA" w:rsidR="00786017" w:rsidRDefault="00786017" w:rsidP="00DA3615">
                      <w:pPr>
                        <w:spacing w:before="240"/>
                      </w:pPr>
                      <w:r>
                        <w:rPr>
                          <w:noProof/>
                          <w:lang w:val="de-CH" w:eastAsia="de-CH"/>
                        </w:rPr>
                        <w:drawing>
                          <wp:inline distT="0" distB="0" distL="0" distR="0" wp14:anchorId="42362672" wp14:editId="0FC982F7">
                            <wp:extent cx="4685515" cy="18002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resentative Type3_2.png"/>
                                    <pic:cNvPicPr/>
                                  </pic:nvPicPr>
                                  <pic:blipFill>
                                    <a:blip r:embed="rId16">
                                      <a:extLst>
                                        <a:ext uri="{28A0092B-C50C-407E-A947-70E740481C1C}">
                                          <a14:useLocalDpi xmlns:a14="http://schemas.microsoft.com/office/drawing/2010/main" val="0"/>
                                        </a:ext>
                                      </a:extLst>
                                    </a:blip>
                                    <a:stretch>
                                      <a:fillRect/>
                                    </a:stretch>
                                  </pic:blipFill>
                                  <pic:spPr>
                                    <a:xfrm>
                                      <a:off x="0" y="0"/>
                                      <a:ext cx="4711899" cy="1810362"/>
                                    </a:xfrm>
                                    <a:prstGeom prst="rect">
                                      <a:avLst/>
                                    </a:prstGeom>
                                  </pic:spPr>
                                </pic:pic>
                              </a:graphicData>
                            </a:graphic>
                          </wp:inline>
                        </w:drawing>
                      </w:r>
                    </w:p>
                  </w:txbxContent>
                </v:textbox>
                <w10:wrap type="square" anchorx="margin" anchory="margin"/>
              </v:shape>
            </w:pict>
          </mc:Fallback>
        </mc:AlternateContent>
      </w:r>
      <w:r w:rsidR="00D360A8">
        <w:rPr>
          <w:lang w:val="en-GB"/>
        </w:rPr>
        <w:t xml:space="preserve">Figure 2: </w:t>
      </w:r>
      <w:r w:rsidR="00B92807">
        <w:rPr>
          <w:lang w:val="en-GB"/>
        </w:rPr>
        <w:t>The p</w:t>
      </w:r>
      <w:r w:rsidR="00D360A8">
        <w:rPr>
          <w:lang w:val="en-GB"/>
        </w:rPr>
        <w:t>rototype engagement trajectory within each cluster</w:t>
      </w:r>
      <w:r w:rsidR="00F97A38">
        <w:rPr>
          <w:lang w:val="en-GB"/>
        </w:rPr>
        <w:t xml:space="preserve">. Columns represent the 11 prompts which could be answered by the participants. Black boxes represent </w:t>
      </w:r>
      <w:r w:rsidR="004E691B">
        <w:rPr>
          <w:lang w:val="en-GB"/>
        </w:rPr>
        <w:t>non-replies</w:t>
      </w:r>
      <w:r w:rsidR="00F97A38">
        <w:rPr>
          <w:lang w:val="en-GB"/>
        </w:rPr>
        <w:t xml:space="preserve">, grey boxes </w:t>
      </w:r>
      <w:r w:rsidR="004E691B">
        <w:rPr>
          <w:lang w:val="en-GB"/>
        </w:rPr>
        <w:t>replies</w:t>
      </w:r>
      <w:r w:rsidR="00F97A38">
        <w:rPr>
          <w:lang w:val="en-GB"/>
        </w:rPr>
        <w:t xml:space="preserve">. </w:t>
      </w:r>
    </w:p>
    <w:p w14:paraId="4AAC7437" w14:textId="77777777" w:rsidR="00A54ED0" w:rsidRDefault="00A54ED0" w:rsidP="00A162B1">
      <w:pPr>
        <w:spacing w:line="480" w:lineRule="auto"/>
        <w:rPr>
          <w:i/>
          <w:lang w:val="en-GB"/>
        </w:rPr>
      </w:pPr>
    </w:p>
    <w:p w14:paraId="691556EF" w14:textId="32E9433E" w:rsidR="00A162B1" w:rsidRPr="002840A4" w:rsidRDefault="00A162B1" w:rsidP="00A162B1">
      <w:pPr>
        <w:spacing w:line="480" w:lineRule="auto"/>
        <w:rPr>
          <w:i/>
          <w:lang w:val="en-GB"/>
        </w:rPr>
      </w:pPr>
      <w:r>
        <w:rPr>
          <w:i/>
          <w:lang w:val="en-GB"/>
        </w:rPr>
        <w:t>3.4 Predictors of engagement trajector</w:t>
      </w:r>
      <w:r w:rsidR="00B92807">
        <w:rPr>
          <w:i/>
          <w:lang w:val="en-GB"/>
        </w:rPr>
        <w:t>y</w:t>
      </w:r>
    </w:p>
    <w:p w14:paraId="72B4EE0E" w14:textId="793CB032" w:rsidR="00D162C6" w:rsidRDefault="00321A7C" w:rsidP="00321A7C">
      <w:pPr>
        <w:spacing w:line="480" w:lineRule="auto"/>
        <w:rPr>
          <w:lang w:val="en-GB"/>
        </w:rPr>
      </w:pPr>
      <w:r>
        <w:rPr>
          <w:lang w:val="en-GB"/>
        </w:rPr>
        <w:t>Table 1</w:t>
      </w:r>
      <w:r w:rsidRPr="00321A7C">
        <w:rPr>
          <w:lang w:val="en-GB"/>
        </w:rPr>
        <w:t xml:space="preserve"> </w:t>
      </w:r>
      <w:r>
        <w:rPr>
          <w:lang w:val="en-GB"/>
        </w:rPr>
        <w:t>summarizes</w:t>
      </w:r>
      <w:r w:rsidRPr="00321A7C">
        <w:rPr>
          <w:lang w:val="en-GB"/>
        </w:rPr>
        <w:t xml:space="preserve"> </w:t>
      </w:r>
      <w:r w:rsidR="00B92807">
        <w:rPr>
          <w:lang w:val="en-GB"/>
        </w:rPr>
        <w:t xml:space="preserve">the </w:t>
      </w:r>
      <w:r w:rsidR="00860D58">
        <w:rPr>
          <w:lang w:val="en-GB"/>
        </w:rPr>
        <w:t>b</w:t>
      </w:r>
      <w:r w:rsidRPr="00321A7C">
        <w:rPr>
          <w:lang w:val="en-GB"/>
        </w:rPr>
        <w:t xml:space="preserve">aseline characteristics of </w:t>
      </w:r>
      <w:r>
        <w:rPr>
          <w:lang w:val="en-GB"/>
        </w:rPr>
        <w:t xml:space="preserve">participants </w:t>
      </w:r>
      <w:r w:rsidR="00860D58">
        <w:rPr>
          <w:lang w:val="en-GB"/>
        </w:rPr>
        <w:t>by engagement trajectory</w:t>
      </w:r>
      <w:r w:rsidR="00A620AC">
        <w:rPr>
          <w:lang w:val="en-GB"/>
        </w:rPr>
        <w:t xml:space="preserve">. </w:t>
      </w:r>
      <w:r w:rsidRPr="00321A7C">
        <w:rPr>
          <w:lang w:val="en-GB"/>
        </w:rPr>
        <w:t xml:space="preserve">There </w:t>
      </w:r>
      <w:r w:rsidR="00D162C6">
        <w:rPr>
          <w:lang w:val="en-GB"/>
        </w:rPr>
        <w:t>were</w:t>
      </w:r>
      <w:r w:rsidRPr="00321A7C">
        <w:rPr>
          <w:lang w:val="en-GB"/>
        </w:rPr>
        <w:t xml:space="preserve"> significant differences between the </w:t>
      </w:r>
      <w:r w:rsidR="00A620AC">
        <w:rPr>
          <w:lang w:val="en-GB"/>
        </w:rPr>
        <w:t>three</w:t>
      </w:r>
      <w:r w:rsidRPr="00321A7C">
        <w:rPr>
          <w:lang w:val="en-GB"/>
        </w:rPr>
        <w:t xml:space="preserve"> clusters with regard to age (</w:t>
      </w:r>
      <w:r w:rsidR="005A39C0">
        <w:rPr>
          <w:i/>
          <w:lang w:val="en-GB"/>
        </w:rPr>
        <w:t>P</w:t>
      </w:r>
      <w:r w:rsidR="00A620AC">
        <w:rPr>
          <w:lang w:val="en-GB"/>
        </w:rPr>
        <w:t xml:space="preserve"> </w:t>
      </w:r>
      <w:r w:rsidR="00D360A8">
        <w:rPr>
          <w:lang w:val="en-GB"/>
        </w:rPr>
        <w:t>= .006</w:t>
      </w:r>
      <w:r w:rsidRPr="00321A7C">
        <w:rPr>
          <w:lang w:val="en-GB"/>
        </w:rPr>
        <w:t xml:space="preserve">), </w:t>
      </w:r>
      <w:r w:rsidR="00F26DE2">
        <w:rPr>
          <w:lang w:val="en-GB"/>
        </w:rPr>
        <w:lastRenderedPageBreak/>
        <w:t>immigra</w:t>
      </w:r>
      <w:r w:rsidR="00B92807">
        <w:rPr>
          <w:lang w:val="en-GB"/>
        </w:rPr>
        <w:t>nt</w:t>
      </w:r>
      <w:r w:rsidR="00F26DE2">
        <w:rPr>
          <w:lang w:val="en-GB"/>
        </w:rPr>
        <w:t xml:space="preserve"> background</w:t>
      </w:r>
      <w:r w:rsidRPr="00321A7C">
        <w:rPr>
          <w:lang w:val="en-GB"/>
        </w:rPr>
        <w:t xml:space="preserve"> (</w:t>
      </w:r>
      <w:r w:rsidR="005A39C0">
        <w:rPr>
          <w:i/>
          <w:lang w:val="en-GB"/>
        </w:rPr>
        <w:t>P</w:t>
      </w:r>
      <w:r w:rsidR="00A620AC">
        <w:rPr>
          <w:lang w:val="en-GB"/>
        </w:rPr>
        <w:t xml:space="preserve"> </w:t>
      </w:r>
      <w:r w:rsidR="00361277">
        <w:rPr>
          <w:lang w:val="en-GB"/>
        </w:rPr>
        <w:t>&lt;</w:t>
      </w:r>
      <w:r w:rsidRPr="00321A7C">
        <w:rPr>
          <w:lang w:val="en-GB"/>
        </w:rPr>
        <w:t>.001), educational attainment (</w:t>
      </w:r>
      <w:r w:rsidR="005A39C0">
        <w:rPr>
          <w:i/>
          <w:lang w:val="en-GB"/>
        </w:rPr>
        <w:t>P</w:t>
      </w:r>
      <w:r w:rsidR="00A620AC">
        <w:rPr>
          <w:lang w:val="en-GB"/>
        </w:rPr>
        <w:t xml:space="preserve"> </w:t>
      </w:r>
      <w:r w:rsidR="00D360A8">
        <w:rPr>
          <w:lang w:val="en-GB"/>
        </w:rPr>
        <w:t>= .04</w:t>
      </w:r>
      <w:r w:rsidRPr="00321A7C">
        <w:rPr>
          <w:lang w:val="en-GB"/>
        </w:rPr>
        <w:t xml:space="preserve">), </w:t>
      </w:r>
      <w:r w:rsidR="00860D58">
        <w:rPr>
          <w:lang w:val="en-GB"/>
        </w:rPr>
        <w:t>binge</w:t>
      </w:r>
      <w:r w:rsidRPr="00321A7C">
        <w:rPr>
          <w:lang w:val="en-GB"/>
        </w:rPr>
        <w:t xml:space="preserve"> drinking (</w:t>
      </w:r>
      <w:r w:rsidR="005A39C0">
        <w:rPr>
          <w:i/>
          <w:lang w:val="en-GB"/>
        </w:rPr>
        <w:t>P</w:t>
      </w:r>
      <w:r w:rsidR="00A620AC">
        <w:rPr>
          <w:lang w:val="en-GB"/>
        </w:rPr>
        <w:t xml:space="preserve"> </w:t>
      </w:r>
      <w:r w:rsidR="00361277">
        <w:rPr>
          <w:lang w:val="en-GB"/>
        </w:rPr>
        <w:t>&lt;</w:t>
      </w:r>
      <w:r w:rsidRPr="00321A7C">
        <w:rPr>
          <w:lang w:val="en-GB"/>
        </w:rPr>
        <w:t>.001), H</w:t>
      </w:r>
      <w:r w:rsidR="00860D58">
        <w:rPr>
          <w:lang w:val="en-GB"/>
        </w:rPr>
        <w:t>APA</w:t>
      </w:r>
      <w:r w:rsidR="00B92807">
        <w:rPr>
          <w:lang w:val="en-GB"/>
        </w:rPr>
        <w:t xml:space="preserve"> </w:t>
      </w:r>
      <w:r w:rsidR="00860D58">
        <w:rPr>
          <w:lang w:val="en-GB"/>
        </w:rPr>
        <w:t>stage</w:t>
      </w:r>
      <w:r w:rsidR="00B92807">
        <w:rPr>
          <w:lang w:val="en-GB"/>
        </w:rPr>
        <w:t xml:space="preserve"> of change</w:t>
      </w:r>
      <w:r w:rsidR="00860D58">
        <w:rPr>
          <w:lang w:val="en-GB"/>
        </w:rPr>
        <w:t xml:space="preserve"> (</w:t>
      </w:r>
      <w:r w:rsidR="005A39C0">
        <w:rPr>
          <w:i/>
          <w:lang w:val="en-GB"/>
        </w:rPr>
        <w:t>P</w:t>
      </w:r>
      <w:r w:rsidR="00A620AC">
        <w:rPr>
          <w:lang w:val="en-GB"/>
        </w:rPr>
        <w:t xml:space="preserve"> </w:t>
      </w:r>
      <w:r w:rsidR="00361277">
        <w:rPr>
          <w:lang w:val="en-GB"/>
        </w:rPr>
        <w:t>&lt;</w:t>
      </w:r>
      <w:r w:rsidR="00860D58">
        <w:rPr>
          <w:lang w:val="en-GB"/>
        </w:rPr>
        <w:t>.05)</w:t>
      </w:r>
      <w:r w:rsidR="00361277">
        <w:rPr>
          <w:lang w:val="en-GB"/>
        </w:rPr>
        <w:t xml:space="preserve">, and </w:t>
      </w:r>
      <w:r w:rsidR="00B92807">
        <w:rPr>
          <w:lang w:val="en-GB"/>
        </w:rPr>
        <w:t xml:space="preserve">self-perceived </w:t>
      </w:r>
      <w:r w:rsidR="00361277">
        <w:rPr>
          <w:lang w:val="en-GB"/>
        </w:rPr>
        <w:t>benefits of quitting (</w:t>
      </w:r>
      <w:r w:rsidR="005A39C0" w:rsidRPr="005A39C0">
        <w:rPr>
          <w:i/>
          <w:lang w:val="en-GB"/>
        </w:rPr>
        <w:t>P</w:t>
      </w:r>
      <w:r w:rsidR="00361277">
        <w:rPr>
          <w:lang w:val="en-GB"/>
        </w:rPr>
        <w:t>&lt;.001)</w:t>
      </w:r>
      <w:r w:rsidRPr="00321A7C">
        <w:rPr>
          <w:lang w:val="en-GB"/>
        </w:rPr>
        <w:t>.</w:t>
      </w:r>
      <w:r w:rsidR="00F26DE2">
        <w:rPr>
          <w:lang w:val="en-GB"/>
        </w:rPr>
        <w:t xml:space="preserve"> </w:t>
      </w:r>
    </w:p>
    <w:p w14:paraId="221D8A1F" w14:textId="77777777" w:rsidR="006C346E" w:rsidRDefault="006C346E" w:rsidP="00321A7C">
      <w:pPr>
        <w:spacing w:line="480" w:lineRule="auto"/>
        <w:rPr>
          <w:lang w:val="en-GB"/>
        </w:rPr>
      </w:pPr>
    </w:p>
    <w:p w14:paraId="624884A0" w14:textId="4924D159" w:rsidR="006C346E" w:rsidRDefault="006C346E" w:rsidP="00207B6B">
      <w:pPr>
        <w:spacing w:line="480" w:lineRule="auto"/>
        <w:ind w:right="-709"/>
        <w:rPr>
          <w:lang w:val="en-GB"/>
        </w:rPr>
      </w:pPr>
      <w:r w:rsidRPr="000E1157">
        <w:rPr>
          <w:i/>
          <w:lang w:val="en-GB"/>
        </w:rPr>
        <w:t>Table 1</w:t>
      </w:r>
      <w:r w:rsidR="00B92807">
        <w:rPr>
          <w:lang w:val="en-GB"/>
        </w:rPr>
        <w:t>:</w:t>
      </w:r>
      <w:r>
        <w:rPr>
          <w:lang w:val="en-GB"/>
        </w:rPr>
        <w:t xml:space="preserve"> Demographic and health behaviour characteristics of </w:t>
      </w:r>
      <w:r w:rsidR="00B92807">
        <w:rPr>
          <w:lang w:val="en-GB"/>
        </w:rPr>
        <w:t xml:space="preserve">the </w:t>
      </w:r>
      <w:r>
        <w:rPr>
          <w:lang w:val="en-GB"/>
        </w:rPr>
        <w:t>study sample by engagement trajector</w:t>
      </w:r>
      <w:r w:rsidR="00B92807">
        <w:rPr>
          <w:lang w:val="en-GB"/>
        </w:rPr>
        <w:t>y.</w:t>
      </w:r>
      <w:r>
        <w:rPr>
          <w:lang w:val="en-GB"/>
        </w:rPr>
        <w:t xml:space="preserve"> </w:t>
      </w:r>
      <w:r w:rsidRPr="002840A4">
        <w:rPr>
          <w:lang w:val="en-GB"/>
        </w:rPr>
        <w:t>Values represent</w:t>
      </w:r>
      <w:r>
        <w:rPr>
          <w:lang w:val="en-GB"/>
        </w:rPr>
        <w:t xml:space="preserve"> n (%) unless stated otherwise.</w:t>
      </w:r>
    </w:p>
    <w:tbl>
      <w:tblPr>
        <w:tblW w:w="9789" w:type="dxa"/>
        <w:tblCellMar>
          <w:left w:w="70" w:type="dxa"/>
          <w:right w:w="70" w:type="dxa"/>
        </w:tblCellMar>
        <w:tblLook w:val="04A0" w:firstRow="1" w:lastRow="0" w:firstColumn="1" w:lastColumn="0" w:noHBand="0" w:noVBand="1"/>
      </w:tblPr>
      <w:tblGrid>
        <w:gridCol w:w="3119"/>
        <w:gridCol w:w="1580"/>
        <w:gridCol w:w="1428"/>
        <w:gridCol w:w="1549"/>
        <w:gridCol w:w="1417"/>
        <w:gridCol w:w="696"/>
      </w:tblGrid>
      <w:tr w:rsidR="006C346E" w14:paraId="1F57BBC3" w14:textId="77777777" w:rsidTr="00E51A65">
        <w:trPr>
          <w:trHeight w:val="615"/>
        </w:trPr>
        <w:tc>
          <w:tcPr>
            <w:tcW w:w="3119" w:type="dxa"/>
            <w:vMerge w:val="restart"/>
            <w:tcBorders>
              <w:top w:val="single" w:sz="4" w:space="0" w:color="auto"/>
              <w:left w:val="nil"/>
              <w:bottom w:val="single" w:sz="4" w:space="0" w:color="000000"/>
              <w:right w:val="nil"/>
            </w:tcBorders>
            <w:shd w:val="clear" w:color="auto" w:fill="auto"/>
            <w:vAlign w:val="center"/>
            <w:hideMark/>
          </w:tcPr>
          <w:p w14:paraId="1314E544" w14:textId="77777777" w:rsidR="006C346E" w:rsidRPr="00DB07B6" w:rsidRDefault="006C346E" w:rsidP="00E51A65">
            <w:pPr>
              <w:spacing w:line="480" w:lineRule="auto"/>
              <w:rPr>
                <w:color w:val="000000"/>
                <w:lang w:val="en-GB" w:eastAsia="de-CH"/>
              </w:rPr>
            </w:pPr>
            <w:r w:rsidRPr="00DB07B6">
              <w:rPr>
                <w:color w:val="000000"/>
                <w:lang w:val="en-GB"/>
              </w:rPr>
              <w:t> </w:t>
            </w:r>
          </w:p>
        </w:tc>
        <w:tc>
          <w:tcPr>
            <w:tcW w:w="1580" w:type="dxa"/>
            <w:tcBorders>
              <w:top w:val="single" w:sz="4" w:space="0" w:color="auto"/>
              <w:left w:val="nil"/>
              <w:bottom w:val="nil"/>
              <w:right w:val="nil"/>
            </w:tcBorders>
            <w:shd w:val="clear" w:color="auto" w:fill="auto"/>
            <w:vAlign w:val="center"/>
            <w:hideMark/>
          </w:tcPr>
          <w:p w14:paraId="23AC0DD7" w14:textId="77777777" w:rsidR="006C346E" w:rsidRPr="00DB07B6" w:rsidRDefault="006C346E" w:rsidP="00E51A65">
            <w:pPr>
              <w:spacing w:line="480" w:lineRule="auto"/>
              <w:jc w:val="center"/>
              <w:rPr>
                <w:color w:val="000000"/>
                <w:lang w:val="en-GB"/>
              </w:rPr>
            </w:pPr>
            <w:r w:rsidRPr="00DB07B6">
              <w:rPr>
                <w:color w:val="000000"/>
                <w:lang w:val="en-GB"/>
              </w:rPr>
              <w:t>All</w:t>
            </w:r>
          </w:p>
        </w:tc>
        <w:tc>
          <w:tcPr>
            <w:tcW w:w="1428" w:type="dxa"/>
            <w:tcBorders>
              <w:top w:val="single" w:sz="4" w:space="0" w:color="auto"/>
              <w:left w:val="nil"/>
              <w:bottom w:val="nil"/>
              <w:right w:val="nil"/>
            </w:tcBorders>
            <w:shd w:val="clear" w:color="auto" w:fill="auto"/>
            <w:vAlign w:val="center"/>
            <w:hideMark/>
          </w:tcPr>
          <w:p w14:paraId="1A9BA40F" w14:textId="77777777" w:rsidR="006C346E" w:rsidRPr="00DB07B6" w:rsidRDefault="006C346E" w:rsidP="00E51A65">
            <w:pPr>
              <w:spacing w:line="480" w:lineRule="auto"/>
              <w:jc w:val="center"/>
              <w:rPr>
                <w:color w:val="000000"/>
                <w:lang w:val="en-GB"/>
              </w:rPr>
            </w:pPr>
            <w:r w:rsidRPr="00DB07B6">
              <w:rPr>
                <w:color w:val="000000"/>
                <w:lang w:val="en-GB"/>
              </w:rPr>
              <w:t>Stable engagement</w:t>
            </w:r>
          </w:p>
        </w:tc>
        <w:tc>
          <w:tcPr>
            <w:tcW w:w="1549" w:type="dxa"/>
            <w:tcBorders>
              <w:top w:val="single" w:sz="4" w:space="0" w:color="auto"/>
              <w:left w:val="nil"/>
              <w:bottom w:val="nil"/>
              <w:right w:val="nil"/>
            </w:tcBorders>
            <w:shd w:val="clear" w:color="auto" w:fill="auto"/>
            <w:vAlign w:val="center"/>
            <w:hideMark/>
          </w:tcPr>
          <w:p w14:paraId="5FF19AB4" w14:textId="77777777" w:rsidR="006C346E" w:rsidRPr="00DB07B6" w:rsidRDefault="006C346E" w:rsidP="00E51A65">
            <w:pPr>
              <w:spacing w:line="480" w:lineRule="auto"/>
              <w:jc w:val="center"/>
              <w:rPr>
                <w:color w:val="000000"/>
                <w:lang w:val="en-GB"/>
              </w:rPr>
            </w:pPr>
            <w:r w:rsidRPr="00DB07B6">
              <w:rPr>
                <w:color w:val="000000"/>
                <w:lang w:val="en-GB"/>
              </w:rPr>
              <w:t>Decreasing engagement</w:t>
            </w:r>
          </w:p>
        </w:tc>
        <w:tc>
          <w:tcPr>
            <w:tcW w:w="1417" w:type="dxa"/>
            <w:tcBorders>
              <w:top w:val="single" w:sz="4" w:space="0" w:color="auto"/>
              <w:left w:val="nil"/>
              <w:bottom w:val="nil"/>
              <w:right w:val="nil"/>
            </w:tcBorders>
            <w:shd w:val="clear" w:color="auto" w:fill="auto"/>
            <w:vAlign w:val="center"/>
            <w:hideMark/>
          </w:tcPr>
          <w:p w14:paraId="52C8E1A0" w14:textId="77777777" w:rsidR="006C346E" w:rsidRDefault="006C346E" w:rsidP="00E51A65">
            <w:pPr>
              <w:spacing w:line="480" w:lineRule="auto"/>
              <w:jc w:val="center"/>
              <w:rPr>
                <w:color w:val="000000"/>
              </w:rPr>
            </w:pPr>
            <w:r w:rsidRPr="00DB07B6">
              <w:rPr>
                <w:color w:val="000000"/>
                <w:lang w:val="en-GB"/>
              </w:rPr>
              <w:t>S</w:t>
            </w:r>
            <w:proofErr w:type="spellStart"/>
            <w:r>
              <w:rPr>
                <w:color w:val="000000"/>
              </w:rPr>
              <w:t>table</w:t>
            </w:r>
            <w:proofErr w:type="spellEnd"/>
            <w:r>
              <w:rPr>
                <w:color w:val="000000"/>
              </w:rPr>
              <w:t xml:space="preserve"> non-engagement</w:t>
            </w:r>
          </w:p>
        </w:tc>
        <w:tc>
          <w:tcPr>
            <w:tcW w:w="696" w:type="dxa"/>
            <w:tcBorders>
              <w:top w:val="single" w:sz="4" w:space="0" w:color="auto"/>
              <w:left w:val="nil"/>
              <w:bottom w:val="nil"/>
              <w:right w:val="nil"/>
            </w:tcBorders>
            <w:shd w:val="clear" w:color="auto" w:fill="auto"/>
            <w:noWrap/>
            <w:vAlign w:val="bottom"/>
            <w:hideMark/>
          </w:tcPr>
          <w:p w14:paraId="7F84A916" w14:textId="77777777" w:rsidR="006C346E" w:rsidRDefault="006C346E" w:rsidP="00E51A65">
            <w:pPr>
              <w:spacing w:line="480" w:lineRule="auto"/>
              <w:rPr>
                <w:rFonts w:ascii="Calibri" w:hAnsi="Calibri"/>
                <w:color w:val="000000"/>
                <w:sz w:val="22"/>
                <w:szCs w:val="22"/>
              </w:rPr>
            </w:pPr>
            <w:r>
              <w:rPr>
                <w:rFonts w:ascii="Calibri" w:hAnsi="Calibri"/>
                <w:color w:val="000000"/>
                <w:sz w:val="22"/>
                <w:szCs w:val="22"/>
              </w:rPr>
              <w:t> </w:t>
            </w:r>
            <w:r>
              <w:rPr>
                <w:i/>
                <w:color w:val="000000"/>
              </w:rPr>
              <w:t>P</w:t>
            </w:r>
            <w:r w:rsidRPr="00DB07B6">
              <w:rPr>
                <w:i/>
                <w:color w:val="000000"/>
              </w:rPr>
              <w:t xml:space="preserve"> </w:t>
            </w:r>
            <w:proofErr w:type="spellStart"/>
            <w:r w:rsidRPr="008F0DA0">
              <w:rPr>
                <w:color w:val="000000"/>
              </w:rPr>
              <w:t>value</w:t>
            </w:r>
            <w:proofErr w:type="spellEnd"/>
          </w:p>
        </w:tc>
      </w:tr>
      <w:tr w:rsidR="006C346E" w14:paraId="6E7262AA" w14:textId="77777777" w:rsidTr="00E51A65">
        <w:trPr>
          <w:trHeight w:val="315"/>
        </w:trPr>
        <w:tc>
          <w:tcPr>
            <w:tcW w:w="3119" w:type="dxa"/>
            <w:vMerge/>
            <w:tcBorders>
              <w:top w:val="single" w:sz="4" w:space="0" w:color="auto"/>
              <w:left w:val="nil"/>
              <w:bottom w:val="single" w:sz="4" w:space="0" w:color="000000"/>
              <w:right w:val="nil"/>
            </w:tcBorders>
            <w:vAlign w:val="center"/>
            <w:hideMark/>
          </w:tcPr>
          <w:p w14:paraId="03CAEA9B" w14:textId="77777777" w:rsidR="006C346E" w:rsidRDefault="006C346E" w:rsidP="00E51A65">
            <w:pPr>
              <w:spacing w:line="480" w:lineRule="auto"/>
              <w:rPr>
                <w:color w:val="000000"/>
              </w:rPr>
            </w:pPr>
          </w:p>
        </w:tc>
        <w:tc>
          <w:tcPr>
            <w:tcW w:w="1580" w:type="dxa"/>
            <w:tcBorders>
              <w:top w:val="nil"/>
              <w:left w:val="nil"/>
              <w:bottom w:val="single" w:sz="4" w:space="0" w:color="auto"/>
              <w:right w:val="nil"/>
            </w:tcBorders>
            <w:shd w:val="clear" w:color="auto" w:fill="auto"/>
            <w:vAlign w:val="center"/>
            <w:hideMark/>
          </w:tcPr>
          <w:p w14:paraId="1A96E9B8" w14:textId="77777777" w:rsidR="006C346E" w:rsidRDefault="006C346E" w:rsidP="00E51A65">
            <w:pPr>
              <w:spacing w:line="480" w:lineRule="auto"/>
              <w:jc w:val="center"/>
              <w:rPr>
                <w:color w:val="000000"/>
              </w:rPr>
            </w:pPr>
            <w:r>
              <w:rPr>
                <w:color w:val="000000"/>
              </w:rPr>
              <w:t>(N= 1418)</w:t>
            </w:r>
          </w:p>
        </w:tc>
        <w:tc>
          <w:tcPr>
            <w:tcW w:w="1428" w:type="dxa"/>
            <w:tcBorders>
              <w:top w:val="nil"/>
              <w:left w:val="nil"/>
              <w:bottom w:val="single" w:sz="4" w:space="0" w:color="auto"/>
              <w:right w:val="nil"/>
            </w:tcBorders>
            <w:shd w:val="clear" w:color="auto" w:fill="auto"/>
            <w:vAlign w:val="center"/>
            <w:hideMark/>
          </w:tcPr>
          <w:p w14:paraId="2A90EE2B" w14:textId="77777777" w:rsidR="006C346E" w:rsidRDefault="006C346E" w:rsidP="00E51A65">
            <w:pPr>
              <w:spacing w:line="480" w:lineRule="auto"/>
              <w:jc w:val="center"/>
              <w:rPr>
                <w:color w:val="000000"/>
              </w:rPr>
            </w:pPr>
            <w:r>
              <w:rPr>
                <w:color w:val="000000"/>
              </w:rPr>
              <w:t>(n= 646)</w:t>
            </w:r>
          </w:p>
        </w:tc>
        <w:tc>
          <w:tcPr>
            <w:tcW w:w="1549" w:type="dxa"/>
            <w:tcBorders>
              <w:top w:val="nil"/>
              <w:left w:val="nil"/>
              <w:bottom w:val="single" w:sz="4" w:space="0" w:color="auto"/>
              <w:right w:val="nil"/>
            </w:tcBorders>
            <w:shd w:val="clear" w:color="auto" w:fill="auto"/>
            <w:vAlign w:val="center"/>
            <w:hideMark/>
          </w:tcPr>
          <w:p w14:paraId="150DB58D" w14:textId="77777777" w:rsidR="006C346E" w:rsidRDefault="006C346E" w:rsidP="00E51A65">
            <w:pPr>
              <w:spacing w:line="480" w:lineRule="auto"/>
              <w:jc w:val="center"/>
              <w:rPr>
                <w:color w:val="000000"/>
              </w:rPr>
            </w:pPr>
            <w:r>
              <w:rPr>
                <w:color w:val="000000"/>
              </w:rPr>
              <w:t>(n= 501)</w:t>
            </w:r>
          </w:p>
        </w:tc>
        <w:tc>
          <w:tcPr>
            <w:tcW w:w="1417" w:type="dxa"/>
            <w:tcBorders>
              <w:top w:val="nil"/>
              <w:left w:val="nil"/>
              <w:bottom w:val="single" w:sz="4" w:space="0" w:color="auto"/>
              <w:right w:val="nil"/>
            </w:tcBorders>
            <w:shd w:val="clear" w:color="auto" w:fill="auto"/>
            <w:vAlign w:val="center"/>
            <w:hideMark/>
          </w:tcPr>
          <w:p w14:paraId="49FA921A" w14:textId="77777777" w:rsidR="006C346E" w:rsidRDefault="006C346E" w:rsidP="00E51A65">
            <w:pPr>
              <w:spacing w:line="480" w:lineRule="auto"/>
              <w:jc w:val="center"/>
              <w:rPr>
                <w:color w:val="000000"/>
              </w:rPr>
            </w:pPr>
            <w:r>
              <w:rPr>
                <w:color w:val="000000"/>
              </w:rPr>
              <w:t>(n= 271)</w:t>
            </w:r>
          </w:p>
        </w:tc>
        <w:tc>
          <w:tcPr>
            <w:tcW w:w="696" w:type="dxa"/>
            <w:tcBorders>
              <w:top w:val="nil"/>
              <w:left w:val="nil"/>
              <w:bottom w:val="single" w:sz="4" w:space="0" w:color="auto"/>
              <w:right w:val="nil"/>
            </w:tcBorders>
            <w:shd w:val="clear" w:color="auto" w:fill="auto"/>
            <w:vAlign w:val="center"/>
            <w:hideMark/>
          </w:tcPr>
          <w:p w14:paraId="2CC3CBE9" w14:textId="77777777" w:rsidR="006C346E" w:rsidRPr="00DB07B6" w:rsidRDefault="006C346E" w:rsidP="00E51A65">
            <w:pPr>
              <w:spacing w:line="480" w:lineRule="auto"/>
              <w:jc w:val="center"/>
              <w:rPr>
                <w:i/>
                <w:color w:val="000000"/>
              </w:rPr>
            </w:pPr>
          </w:p>
        </w:tc>
      </w:tr>
      <w:tr w:rsidR="006C346E" w14:paraId="61F5688E" w14:textId="77777777" w:rsidTr="00E51A65">
        <w:trPr>
          <w:trHeight w:val="315"/>
        </w:trPr>
        <w:tc>
          <w:tcPr>
            <w:tcW w:w="3119" w:type="dxa"/>
            <w:tcBorders>
              <w:top w:val="nil"/>
              <w:left w:val="nil"/>
              <w:bottom w:val="nil"/>
              <w:right w:val="nil"/>
            </w:tcBorders>
            <w:shd w:val="clear" w:color="auto" w:fill="auto"/>
            <w:vAlign w:val="center"/>
            <w:hideMark/>
          </w:tcPr>
          <w:p w14:paraId="353FF65D" w14:textId="77777777" w:rsidR="006C346E" w:rsidRDefault="006C346E" w:rsidP="00E51A65">
            <w:pPr>
              <w:spacing w:line="480" w:lineRule="auto"/>
              <w:rPr>
                <w:color w:val="000000"/>
              </w:rPr>
            </w:pPr>
            <w:r>
              <w:rPr>
                <w:color w:val="000000"/>
              </w:rPr>
              <w:t xml:space="preserve">Intervention </w:t>
            </w:r>
            <w:proofErr w:type="spellStart"/>
            <w:r>
              <w:rPr>
                <w:color w:val="000000"/>
              </w:rPr>
              <w:t>group</w:t>
            </w:r>
            <w:proofErr w:type="spellEnd"/>
            <w:r>
              <w:rPr>
                <w:color w:val="000000"/>
              </w:rPr>
              <w:t xml:space="preserve"> </w:t>
            </w:r>
            <w:proofErr w:type="spellStart"/>
            <w:r w:rsidRPr="002D1FD0">
              <w:rPr>
                <w:color w:val="000000"/>
                <w:vertAlign w:val="superscript"/>
              </w:rPr>
              <w:t>ac</w:t>
            </w:r>
            <w:proofErr w:type="spellEnd"/>
          </w:p>
        </w:tc>
        <w:tc>
          <w:tcPr>
            <w:tcW w:w="1580" w:type="dxa"/>
            <w:tcBorders>
              <w:top w:val="nil"/>
              <w:left w:val="nil"/>
              <w:bottom w:val="nil"/>
              <w:right w:val="nil"/>
            </w:tcBorders>
            <w:shd w:val="clear" w:color="auto" w:fill="auto"/>
            <w:vAlign w:val="center"/>
            <w:hideMark/>
          </w:tcPr>
          <w:p w14:paraId="71DB291F" w14:textId="77777777" w:rsidR="006C346E" w:rsidRDefault="006C346E" w:rsidP="00E51A65">
            <w:pPr>
              <w:spacing w:line="480" w:lineRule="auto"/>
              <w:rPr>
                <w:color w:val="000000"/>
              </w:rPr>
            </w:pPr>
          </w:p>
        </w:tc>
        <w:tc>
          <w:tcPr>
            <w:tcW w:w="1428" w:type="dxa"/>
            <w:tcBorders>
              <w:top w:val="nil"/>
              <w:left w:val="nil"/>
              <w:bottom w:val="nil"/>
              <w:right w:val="nil"/>
            </w:tcBorders>
            <w:shd w:val="clear" w:color="auto" w:fill="auto"/>
            <w:vAlign w:val="center"/>
            <w:hideMark/>
          </w:tcPr>
          <w:p w14:paraId="7FC57435" w14:textId="77777777" w:rsidR="006C346E" w:rsidRDefault="006C346E" w:rsidP="00E51A65">
            <w:pPr>
              <w:spacing w:line="480" w:lineRule="auto"/>
              <w:rPr>
                <w:sz w:val="20"/>
                <w:szCs w:val="20"/>
              </w:rPr>
            </w:pPr>
          </w:p>
        </w:tc>
        <w:tc>
          <w:tcPr>
            <w:tcW w:w="1549" w:type="dxa"/>
            <w:tcBorders>
              <w:top w:val="nil"/>
              <w:left w:val="nil"/>
              <w:bottom w:val="nil"/>
              <w:right w:val="nil"/>
            </w:tcBorders>
            <w:shd w:val="clear" w:color="auto" w:fill="auto"/>
            <w:vAlign w:val="center"/>
            <w:hideMark/>
          </w:tcPr>
          <w:p w14:paraId="55080F76" w14:textId="77777777" w:rsidR="006C346E" w:rsidRDefault="006C346E" w:rsidP="00E51A65">
            <w:pPr>
              <w:spacing w:line="480" w:lineRule="auto"/>
              <w:jc w:val="center"/>
              <w:rPr>
                <w:sz w:val="20"/>
                <w:szCs w:val="20"/>
              </w:rPr>
            </w:pPr>
          </w:p>
        </w:tc>
        <w:tc>
          <w:tcPr>
            <w:tcW w:w="1417" w:type="dxa"/>
            <w:tcBorders>
              <w:top w:val="nil"/>
              <w:left w:val="nil"/>
              <w:bottom w:val="nil"/>
              <w:right w:val="nil"/>
            </w:tcBorders>
            <w:shd w:val="clear" w:color="auto" w:fill="auto"/>
            <w:vAlign w:val="center"/>
            <w:hideMark/>
          </w:tcPr>
          <w:p w14:paraId="31460599" w14:textId="77777777" w:rsidR="006C346E" w:rsidRDefault="006C346E" w:rsidP="00E51A65">
            <w:pPr>
              <w:spacing w:line="480" w:lineRule="auto"/>
              <w:jc w:val="center"/>
              <w:rPr>
                <w:sz w:val="20"/>
                <w:szCs w:val="20"/>
              </w:rPr>
            </w:pPr>
          </w:p>
        </w:tc>
        <w:tc>
          <w:tcPr>
            <w:tcW w:w="696" w:type="dxa"/>
            <w:tcBorders>
              <w:top w:val="nil"/>
              <w:left w:val="nil"/>
              <w:bottom w:val="nil"/>
              <w:right w:val="nil"/>
            </w:tcBorders>
            <w:shd w:val="clear" w:color="auto" w:fill="auto"/>
            <w:vAlign w:val="center"/>
            <w:hideMark/>
          </w:tcPr>
          <w:p w14:paraId="66518F5A" w14:textId="77777777" w:rsidR="006C346E" w:rsidRDefault="006C346E" w:rsidP="00E51A65">
            <w:pPr>
              <w:spacing w:line="480" w:lineRule="auto"/>
              <w:jc w:val="center"/>
              <w:rPr>
                <w:sz w:val="20"/>
                <w:szCs w:val="20"/>
              </w:rPr>
            </w:pPr>
          </w:p>
        </w:tc>
      </w:tr>
      <w:tr w:rsidR="006C346E" w14:paraId="2D9A22CF" w14:textId="77777777" w:rsidTr="00E51A65">
        <w:trPr>
          <w:trHeight w:val="315"/>
        </w:trPr>
        <w:tc>
          <w:tcPr>
            <w:tcW w:w="3119" w:type="dxa"/>
            <w:tcBorders>
              <w:top w:val="nil"/>
              <w:left w:val="nil"/>
              <w:bottom w:val="nil"/>
              <w:right w:val="nil"/>
            </w:tcBorders>
            <w:shd w:val="clear" w:color="auto" w:fill="auto"/>
            <w:vAlign w:val="center"/>
            <w:hideMark/>
          </w:tcPr>
          <w:p w14:paraId="1EB8E8E7" w14:textId="77777777" w:rsidR="006C346E" w:rsidRDefault="006C346E" w:rsidP="00E51A65">
            <w:pPr>
              <w:spacing w:line="480" w:lineRule="auto"/>
              <w:ind w:firstLineChars="100" w:firstLine="240"/>
              <w:rPr>
                <w:color w:val="000000"/>
              </w:rPr>
            </w:pPr>
            <w:r>
              <w:rPr>
                <w:color w:val="000000"/>
              </w:rPr>
              <w:t>MCT</w:t>
            </w:r>
          </w:p>
        </w:tc>
        <w:tc>
          <w:tcPr>
            <w:tcW w:w="1580" w:type="dxa"/>
            <w:tcBorders>
              <w:top w:val="nil"/>
              <w:left w:val="nil"/>
              <w:bottom w:val="nil"/>
              <w:right w:val="nil"/>
            </w:tcBorders>
            <w:shd w:val="clear" w:color="auto" w:fill="auto"/>
            <w:vAlign w:val="center"/>
            <w:hideMark/>
          </w:tcPr>
          <w:p w14:paraId="36CBAD2D" w14:textId="77777777" w:rsidR="006C346E" w:rsidRDefault="006C346E" w:rsidP="00E51A65">
            <w:pPr>
              <w:spacing w:line="480" w:lineRule="auto"/>
              <w:jc w:val="center"/>
              <w:rPr>
                <w:color w:val="000000"/>
              </w:rPr>
            </w:pPr>
            <w:r>
              <w:rPr>
                <w:color w:val="000000"/>
              </w:rPr>
              <w:t>712 (50.2%)</w:t>
            </w:r>
          </w:p>
        </w:tc>
        <w:tc>
          <w:tcPr>
            <w:tcW w:w="1428" w:type="dxa"/>
            <w:tcBorders>
              <w:top w:val="nil"/>
              <w:left w:val="nil"/>
              <w:bottom w:val="nil"/>
              <w:right w:val="nil"/>
            </w:tcBorders>
            <w:shd w:val="clear" w:color="auto" w:fill="auto"/>
            <w:vAlign w:val="center"/>
            <w:hideMark/>
          </w:tcPr>
          <w:p w14:paraId="3EBF6739" w14:textId="77777777" w:rsidR="006C346E" w:rsidRDefault="006C346E" w:rsidP="00E51A65">
            <w:pPr>
              <w:spacing w:line="480" w:lineRule="auto"/>
              <w:jc w:val="center"/>
              <w:rPr>
                <w:color w:val="000000"/>
              </w:rPr>
            </w:pPr>
            <w:r>
              <w:rPr>
                <w:color w:val="000000"/>
              </w:rPr>
              <w:t>319 (49.4%)</w:t>
            </w:r>
          </w:p>
        </w:tc>
        <w:tc>
          <w:tcPr>
            <w:tcW w:w="1549" w:type="dxa"/>
            <w:tcBorders>
              <w:top w:val="nil"/>
              <w:left w:val="nil"/>
              <w:bottom w:val="nil"/>
              <w:right w:val="nil"/>
            </w:tcBorders>
            <w:shd w:val="clear" w:color="auto" w:fill="auto"/>
            <w:vAlign w:val="center"/>
            <w:hideMark/>
          </w:tcPr>
          <w:p w14:paraId="4FE7C14F" w14:textId="77777777" w:rsidR="006C346E" w:rsidRDefault="006C346E" w:rsidP="00E51A65">
            <w:pPr>
              <w:spacing w:line="480" w:lineRule="auto"/>
              <w:jc w:val="center"/>
              <w:rPr>
                <w:color w:val="000000"/>
              </w:rPr>
            </w:pPr>
            <w:r>
              <w:rPr>
                <w:color w:val="000000"/>
              </w:rPr>
              <w:t>248 (49.5%)</w:t>
            </w:r>
          </w:p>
        </w:tc>
        <w:tc>
          <w:tcPr>
            <w:tcW w:w="1417" w:type="dxa"/>
            <w:tcBorders>
              <w:top w:val="nil"/>
              <w:left w:val="nil"/>
              <w:bottom w:val="nil"/>
              <w:right w:val="nil"/>
            </w:tcBorders>
            <w:shd w:val="clear" w:color="auto" w:fill="auto"/>
            <w:vAlign w:val="center"/>
            <w:hideMark/>
          </w:tcPr>
          <w:p w14:paraId="08EFD81B" w14:textId="77777777" w:rsidR="006C346E" w:rsidRDefault="006C346E" w:rsidP="00E51A65">
            <w:pPr>
              <w:spacing w:line="480" w:lineRule="auto"/>
              <w:jc w:val="center"/>
              <w:rPr>
                <w:color w:val="000000"/>
              </w:rPr>
            </w:pPr>
            <w:r>
              <w:rPr>
                <w:color w:val="000000"/>
              </w:rPr>
              <w:t>145 (53.5%)</w:t>
            </w:r>
          </w:p>
        </w:tc>
        <w:tc>
          <w:tcPr>
            <w:tcW w:w="696" w:type="dxa"/>
            <w:tcBorders>
              <w:top w:val="nil"/>
              <w:left w:val="nil"/>
              <w:bottom w:val="nil"/>
              <w:right w:val="nil"/>
            </w:tcBorders>
            <w:shd w:val="clear" w:color="auto" w:fill="auto"/>
            <w:vAlign w:val="center"/>
            <w:hideMark/>
          </w:tcPr>
          <w:p w14:paraId="74424691" w14:textId="77777777" w:rsidR="006C346E" w:rsidRDefault="006C346E" w:rsidP="00E51A65">
            <w:pPr>
              <w:spacing w:line="480" w:lineRule="auto"/>
              <w:jc w:val="center"/>
              <w:rPr>
                <w:color w:val="000000"/>
              </w:rPr>
            </w:pPr>
            <w:r>
              <w:rPr>
                <w:color w:val="000000"/>
              </w:rPr>
              <w:t>.48</w:t>
            </w:r>
          </w:p>
        </w:tc>
      </w:tr>
      <w:tr w:rsidR="006C346E" w14:paraId="5D33109A" w14:textId="77777777" w:rsidTr="00E51A65">
        <w:trPr>
          <w:trHeight w:val="315"/>
        </w:trPr>
        <w:tc>
          <w:tcPr>
            <w:tcW w:w="3119" w:type="dxa"/>
            <w:tcBorders>
              <w:top w:val="nil"/>
              <w:left w:val="nil"/>
              <w:bottom w:val="nil"/>
              <w:right w:val="nil"/>
            </w:tcBorders>
            <w:shd w:val="clear" w:color="auto" w:fill="auto"/>
            <w:vAlign w:val="center"/>
            <w:hideMark/>
          </w:tcPr>
          <w:p w14:paraId="0D363C0A" w14:textId="77777777" w:rsidR="006C346E" w:rsidRDefault="006C346E" w:rsidP="00E51A65">
            <w:pPr>
              <w:spacing w:line="480" w:lineRule="auto"/>
              <w:ind w:firstLineChars="100" w:firstLine="240"/>
              <w:rPr>
                <w:color w:val="000000"/>
              </w:rPr>
            </w:pPr>
            <w:r>
              <w:rPr>
                <w:color w:val="000000"/>
              </w:rPr>
              <w:t>MCT+</w:t>
            </w:r>
          </w:p>
        </w:tc>
        <w:tc>
          <w:tcPr>
            <w:tcW w:w="1580" w:type="dxa"/>
            <w:tcBorders>
              <w:top w:val="nil"/>
              <w:left w:val="nil"/>
              <w:bottom w:val="nil"/>
              <w:right w:val="nil"/>
            </w:tcBorders>
            <w:shd w:val="clear" w:color="auto" w:fill="auto"/>
            <w:vAlign w:val="center"/>
            <w:hideMark/>
          </w:tcPr>
          <w:p w14:paraId="74AA0121" w14:textId="77777777" w:rsidR="006C346E" w:rsidRDefault="006C346E" w:rsidP="00E51A65">
            <w:pPr>
              <w:spacing w:line="480" w:lineRule="auto"/>
              <w:jc w:val="center"/>
              <w:rPr>
                <w:color w:val="000000"/>
              </w:rPr>
            </w:pPr>
            <w:r>
              <w:rPr>
                <w:color w:val="000000"/>
              </w:rPr>
              <w:t>706 (49.8%)</w:t>
            </w:r>
          </w:p>
        </w:tc>
        <w:tc>
          <w:tcPr>
            <w:tcW w:w="1428" w:type="dxa"/>
            <w:tcBorders>
              <w:top w:val="nil"/>
              <w:left w:val="nil"/>
              <w:bottom w:val="nil"/>
              <w:right w:val="nil"/>
            </w:tcBorders>
            <w:shd w:val="clear" w:color="auto" w:fill="auto"/>
            <w:vAlign w:val="center"/>
            <w:hideMark/>
          </w:tcPr>
          <w:p w14:paraId="38FA435A" w14:textId="77777777" w:rsidR="006C346E" w:rsidRDefault="006C346E" w:rsidP="00E51A65">
            <w:pPr>
              <w:spacing w:line="480" w:lineRule="auto"/>
              <w:jc w:val="center"/>
              <w:rPr>
                <w:color w:val="000000"/>
              </w:rPr>
            </w:pPr>
            <w:r>
              <w:rPr>
                <w:color w:val="000000"/>
              </w:rPr>
              <w:t>327 (50.6%)</w:t>
            </w:r>
          </w:p>
        </w:tc>
        <w:tc>
          <w:tcPr>
            <w:tcW w:w="1549" w:type="dxa"/>
            <w:tcBorders>
              <w:top w:val="nil"/>
              <w:left w:val="nil"/>
              <w:bottom w:val="nil"/>
              <w:right w:val="nil"/>
            </w:tcBorders>
            <w:shd w:val="clear" w:color="auto" w:fill="auto"/>
            <w:vAlign w:val="center"/>
            <w:hideMark/>
          </w:tcPr>
          <w:p w14:paraId="73F6B0FA" w14:textId="77777777" w:rsidR="006C346E" w:rsidRDefault="006C346E" w:rsidP="00E51A65">
            <w:pPr>
              <w:spacing w:line="480" w:lineRule="auto"/>
              <w:jc w:val="center"/>
              <w:rPr>
                <w:color w:val="000000"/>
              </w:rPr>
            </w:pPr>
            <w:r>
              <w:rPr>
                <w:color w:val="000000"/>
              </w:rPr>
              <w:t>253 (50.5%)</w:t>
            </w:r>
          </w:p>
        </w:tc>
        <w:tc>
          <w:tcPr>
            <w:tcW w:w="1417" w:type="dxa"/>
            <w:tcBorders>
              <w:top w:val="nil"/>
              <w:left w:val="nil"/>
              <w:bottom w:val="nil"/>
              <w:right w:val="nil"/>
            </w:tcBorders>
            <w:shd w:val="clear" w:color="auto" w:fill="auto"/>
            <w:vAlign w:val="center"/>
            <w:hideMark/>
          </w:tcPr>
          <w:p w14:paraId="59F06C7E" w14:textId="77777777" w:rsidR="006C346E" w:rsidRDefault="006C346E" w:rsidP="00E51A65">
            <w:pPr>
              <w:spacing w:line="480" w:lineRule="auto"/>
              <w:jc w:val="center"/>
              <w:rPr>
                <w:color w:val="000000"/>
              </w:rPr>
            </w:pPr>
            <w:r>
              <w:rPr>
                <w:color w:val="000000"/>
              </w:rPr>
              <w:t>126 (46.5%)</w:t>
            </w:r>
          </w:p>
        </w:tc>
        <w:tc>
          <w:tcPr>
            <w:tcW w:w="696" w:type="dxa"/>
            <w:tcBorders>
              <w:top w:val="nil"/>
              <w:left w:val="nil"/>
              <w:bottom w:val="nil"/>
              <w:right w:val="nil"/>
            </w:tcBorders>
            <w:shd w:val="clear" w:color="auto" w:fill="auto"/>
            <w:vAlign w:val="center"/>
            <w:hideMark/>
          </w:tcPr>
          <w:p w14:paraId="777EF968" w14:textId="77777777" w:rsidR="006C346E" w:rsidRDefault="006C346E" w:rsidP="00E51A65">
            <w:pPr>
              <w:spacing w:line="480" w:lineRule="auto"/>
              <w:jc w:val="center"/>
              <w:rPr>
                <w:color w:val="000000"/>
              </w:rPr>
            </w:pPr>
          </w:p>
        </w:tc>
      </w:tr>
      <w:tr w:rsidR="006C346E" w14:paraId="0D45019F" w14:textId="77777777" w:rsidTr="00E51A65">
        <w:trPr>
          <w:trHeight w:val="315"/>
        </w:trPr>
        <w:tc>
          <w:tcPr>
            <w:tcW w:w="3119" w:type="dxa"/>
            <w:tcBorders>
              <w:top w:val="nil"/>
              <w:left w:val="nil"/>
              <w:bottom w:val="nil"/>
              <w:right w:val="nil"/>
            </w:tcBorders>
            <w:shd w:val="clear" w:color="auto" w:fill="auto"/>
            <w:vAlign w:val="center"/>
            <w:hideMark/>
          </w:tcPr>
          <w:p w14:paraId="0B10CDAC" w14:textId="77777777" w:rsidR="006C346E" w:rsidRDefault="006C346E" w:rsidP="00E51A65">
            <w:pPr>
              <w:spacing w:line="480" w:lineRule="auto"/>
              <w:rPr>
                <w:color w:val="000000"/>
              </w:rPr>
            </w:pPr>
            <w:proofErr w:type="spellStart"/>
            <w:r>
              <w:rPr>
                <w:color w:val="000000"/>
              </w:rPr>
              <w:t>Female</w:t>
            </w:r>
            <w:proofErr w:type="spellEnd"/>
            <w:r>
              <w:rPr>
                <w:color w:val="000000"/>
              </w:rPr>
              <w:t xml:space="preserve"> </w:t>
            </w:r>
            <w:proofErr w:type="spellStart"/>
            <w:r>
              <w:rPr>
                <w:color w:val="000000"/>
              </w:rPr>
              <w:t>sex</w:t>
            </w:r>
            <w:proofErr w:type="spellEnd"/>
            <w:r>
              <w:rPr>
                <w:color w:val="000000"/>
              </w:rPr>
              <w:t xml:space="preserve"> </w:t>
            </w:r>
            <w:proofErr w:type="spellStart"/>
            <w:r w:rsidRPr="002D1FD0">
              <w:rPr>
                <w:color w:val="000000"/>
                <w:vertAlign w:val="superscript"/>
              </w:rPr>
              <w:t>ac</w:t>
            </w:r>
            <w:proofErr w:type="spellEnd"/>
          </w:p>
        </w:tc>
        <w:tc>
          <w:tcPr>
            <w:tcW w:w="1580" w:type="dxa"/>
            <w:tcBorders>
              <w:top w:val="nil"/>
              <w:left w:val="nil"/>
              <w:bottom w:val="nil"/>
              <w:right w:val="nil"/>
            </w:tcBorders>
            <w:shd w:val="clear" w:color="auto" w:fill="auto"/>
            <w:vAlign w:val="center"/>
            <w:hideMark/>
          </w:tcPr>
          <w:p w14:paraId="1EAEFE47" w14:textId="77777777" w:rsidR="006C346E" w:rsidRDefault="006C346E" w:rsidP="00E51A65">
            <w:pPr>
              <w:spacing w:line="480" w:lineRule="auto"/>
              <w:jc w:val="center"/>
              <w:rPr>
                <w:color w:val="000000"/>
              </w:rPr>
            </w:pPr>
            <w:r>
              <w:rPr>
                <w:color w:val="000000"/>
              </w:rPr>
              <w:t>863 (60.9%)</w:t>
            </w:r>
          </w:p>
        </w:tc>
        <w:tc>
          <w:tcPr>
            <w:tcW w:w="1428" w:type="dxa"/>
            <w:tcBorders>
              <w:top w:val="nil"/>
              <w:left w:val="nil"/>
              <w:bottom w:val="nil"/>
              <w:right w:val="nil"/>
            </w:tcBorders>
            <w:shd w:val="clear" w:color="auto" w:fill="auto"/>
            <w:vAlign w:val="center"/>
            <w:hideMark/>
          </w:tcPr>
          <w:p w14:paraId="3A5DA583" w14:textId="77777777" w:rsidR="006C346E" w:rsidRDefault="006C346E" w:rsidP="00E51A65">
            <w:pPr>
              <w:spacing w:line="480" w:lineRule="auto"/>
              <w:jc w:val="center"/>
              <w:rPr>
                <w:color w:val="000000"/>
              </w:rPr>
            </w:pPr>
            <w:r>
              <w:rPr>
                <w:color w:val="000000"/>
              </w:rPr>
              <w:t>398 (61.6%)</w:t>
            </w:r>
          </w:p>
        </w:tc>
        <w:tc>
          <w:tcPr>
            <w:tcW w:w="1549" w:type="dxa"/>
            <w:tcBorders>
              <w:top w:val="nil"/>
              <w:left w:val="nil"/>
              <w:bottom w:val="nil"/>
              <w:right w:val="nil"/>
            </w:tcBorders>
            <w:shd w:val="clear" w:color="auto" w:fill="auto"/>
            <w:vAlign w:val="center"/>
            <w:hideMark/>
          </w:tcPr>
          <w:p w14:paraId="35A36383" w14:textId="77777777" w:rsidR="006C346E" w:rsidRDefault="006C346E" w:rsidP="00E51A65">
            <w:pPr>
              <w:spacing w:line="480" w:lineRule="auto"/>
              <w:jc w:val="center"/>
              <w:rPr>
                <w:color w:val="000000"/>
              </w:rPr>
            </w:pPr>
            <w:r>
              <w:rPr>
                <w:color w:val="000000"/>
              </w:rPr>
              <w:t>293 (58.5%)</w:t>
            </w:r>
          </w:p>
        </w:tc>
        <w:tc>
          <w:tcPr>
            <w:tcW w:w="1417" w:type="dxa"/>
            <w:tcBorders>
              <w:top w:val="nil"/>
              <w:left w:val="nil"/>
              <w:bottom w:val="nil"/>
              <w:right w:val="nil"/>
            </w:tcBorders>
            <w:shd w:val="clear" w:color="auto" w:fill="auto"/>
            <w:vAlign w:val="center"/>
            <w:hideMark/>
          </w:tcPr>
          <w:p w14:paraId="582D7905" w14:textId="77777777" w:rsidR="006C346E" w:rsidRDefault="006C346E" w:rsidP="00E51A65">
            <w:pPr>
              <w:spacing w:line="480" w:lineRule="auto"/>
              <w:jc w:val="center"/>
              <w:rPr>
                <w:color w:val="000000"/>
              </w:rPr>
            </w:pPr>
            <w:r>
              <w:rPr>
                <w:color w:val="000000"/>
              </w:rPr>
              <w:t>172 (63.5%)</w:t>
            </w:r>
          </w:p>
        </w:tc>
        <w:tc>
          <w:tcPr>
            <w:tcW w:w="696" w:type="dxa"/>
            <w:tcBorders>
              <w:top w:val="nil"/>
              <w:left w:val="nil"/>
              <w:bottom w:val="nil"/>
              <w:right w:val="nil"/>
            </w:tcBorders>
            <w:shd w:val="clear" w:color="auto" w:fill="auto"/>
            <w:vAlign w:val="center"/>
            <w:hideMark/>
          </w:tcPr>
          <w:p w14:paraId="6388AC40" w14:textId="77777777" w:rsidR="006C346E" w:rsidRDefault="006C346E" w:rsidP="00E51A65">
            <w:pPr>
              <w:spacing w:line="480" w:lineRule="auto"/>
              <w:jc w:val="center"/>
              <w:rPr>
                <w:color w:val="000000"/>
              </w:rPr>
            </w:pPr>
            <w:r>
              <w:rPr>
                <w:color w:val="000000"/>
              </w:rPr>
              <w:t>.35</w:t>
            </w:r>
          </w:p>
        </w:tc>
      </w:tr>
      <w:tr w:rsidR="006C346E" w14:paraId="0579CAA9" w14:textId="77777777" w:rsidTr="00E51A65">
        <w:trPr>
          <w:trHeight w:val="315"/>
        </w:trPr>
        <w:tc>
          <w:tcPr>
            <w:tcW w:w="3119" w:type="dxa"/>
            <w:tcBorders>
              <w:top w:val="nil"/>
              <w:left w:val="nil"/>
              <w:bottom w:val="nil"/>
              <w:right w:val="nil"/>
            </w:tcBorders>
            <w:shd w:val="clear" w:color="auto" w:fill="auto"/>
            <w:vAlign w:val="center"/>
            <w:hideMark/>
          </w:tcPr>
          <w:p w14:paraId="2B5BF998" w14:textId="24802531" w:rsidR="006C346E" w:rsidRPr="006A4DBC" w:rsidRDefault="006C346E" w:rsidP="00A50322">
            <w:pPr>
              <w:spacing w:line="480" w:lineRule="auto"/>
              <w:rPr>
                <w:color w:val="000000"/>
                <w:highlight w:val="yellow"/>
              </w:rPr>
            </w:pPr>
            <w:r w:rsidRPr="000C15A4">
              <w:rPr>
                <w:color w:val="000000"/>
              </w:rPr>
              <w:t>Immigra</w:t>
            </w:r>
            <w:r w:rsidR="00A50322">
              <w:rPr>
                <w:color w:val="000000"/>
              </w:rPr>
              <w:t>nt</w:t>
            </w:r>
            <w:r w:rsidRPr="000C15A4">
              <w:rPr>
                <w:color w:val="000000"/>
              </w:rPr>
              <w:t xml:space="preserve"> </w:t>
            </w:r>
            <w:proofErr w:type="spellStart"/>
            <w:r w:rsidRPr="000C15A4">
              <w:rPr>
                <w:color w:val="000000"/>
              </w:rPr>
              <w:t>background</w:t>
            </w:r>
            <w:proofErr w:type="spellEnd"/>
            <w:r w:rsidRPr="000C15A4">
              <w:rPr>
                <w:color w:val="000000"/>
              </w:rPr>
              <w:t xml:space="preserve"> </w:t>
            </w:r>
            <w:proofErr w:type="spellStart"/>
            <w:r w:rsidRPr="000C15A4">
              <w:rPr>
                <w:color w:val="000000"/>
                <w:vertAlign w:val="superscript"/>
              </w:rPr>
              <w:t>ac</w:t>
            </w:r>
            <w:proofErr w:type="spellEnd"/>
          </w:p>
        </w:tc>
        <w:tc>
          <w:tcPr>
            <w:tcW w:w="1580" w:type="dxa"/>
            <w:tcBorders>
              <w:top w:val="nil"/>
              <w:left w:val="nil"/>
              <w:bottom w:val="nil"/>
              <w:right w:val="nil"/>
            </w:tcBorders>
            <w:shd w:val="clear" w:color="auto" w:fill="auto"/>
            <w:vAlign w:val="center"/>
            <w:hideMark/>
          </w:tcPr>
          <w:p w14:paraId="028304FA" w14:textId="77777777" w:rsidR="006C346E" w:rsidRDefault="006C346E" w:rsidP="00E51A65">
            <w:pPr>
              <w:spacing w:line="480" w:lineRule="auto"/>
              <w:jc w:val="center"/>
              <w:rPr>
                <w:color w:val="000000"/>
              </w:rPr>
            </w:pPr>
            <w:r>
              <w:rPr>
                <w:color w:val="000000"/>
              </w:rPr>
              <w:t>740 (52.2%)</w:t>
            </w:r>
          </w:p>
        </w:tc>
        <w:tc>
          <w:tcPr>
            <w:tcW w:w="1428" w:type="dxa"/>
            <w:tcBorders>
              <w:top w:val="nil"/>
              <w:left w:val="nil"/>
              <w:bottom w:val="nil"/>
              <w:right w:val="nil"/>
            </w:tcBorders>
            <w:shd w:val="clear" w:color="auto" w:fill="auto"/>
            <w:vAlign w:val="center"/>
            <w:hideMark/>
          </w:tcPr>
          <w:p w14:paraId="7762AC9B" w14:textId="77777777" w:rsidR="006C346E" w:rsidRDefault="006C346E" w:rsidP="00E51A65">
            <w:pPr>
              <w:spacing w:line="480" w:lineRule="auto"/>
              <w:jc w:val="center"/>
              <w:rPr>
                <w:color w:val="000000"/>
              </w:rPr>
            </w:pPr>
            <w:r>
              <w:rPr>
                <w:color w:val="000000"/>
              </w:rPr>
              <w:t>293 (45.4%)</w:t>
            </w:r>
          </w:p>
        </w:tc>
        <w:tc>
          <w:tcPr>
            <w:tcW w:w="1549" w:type="dxa"/>
            <w:tcBorders>
              <w:top w:val="nil"/>
              <w:left w:val="nil"/>
              <w:bottom w:val="nil"/>
              <w:right w:val="nil"/>
            </w:tcBorders>
            <w:shd w:val="clear" w:color="auto" w:fill="auto"/>
            <w:vAlign w:val="center"/>
            <w:hideMark/>
          </w:tcPr>
          <w:p w14:paraId="1F84A296" w14:textId="77777777" w:rsidR="006C346E" w:rsidRDefault="006C346E" w:rsidP="00E51A65">
            <w:pPr>
              <w:spacing w:line="480" w:lineRule="auto"/>
              <w:jc w:val="center"/>
              <w:rPr>
                <w:color w:val="000000"/>
              </w:rPr>
            </w:pPr>
            <w:r>
              <w:rPr>
                <w:color w:val="000000"/>
              </w:rPr>
              <w:t>268 (53.5%)</w:t>
            </w:r>
          </w:p>
        </w:tc>
        <w:tc>
          <w:tcPr>
            <w:tcW w:w="1417" w:type="dxa"/>
            <w:tcBorders>
              <w:top w:val="nil"/>
              <w:left w:val="nil"/>
              <w:bottom w:val="nil"/>
              <w:right w:val="nil"/>
            </w:tcBorders>
            <w:shd w:val="clear" w:color="auto" w:fill="auto"/>
            <w:vAlign w:val="center"/>
            <w:hideMark/>
          </w:tcPr>
          <w:p w14:paraId="3E5E0AAA" w14:textId="77777777" w:rsidR="006C346E" w:rsidRDefault="006C346E" w:rsidP="00E51A65">
            <w:pPr>
              <w:spacing w:line="480" w:lineRule="auto"/>
              <w:jc w:val="center"/>
              <w:rPr>
                <w:color w:val="000000"/>
              </w:rPr>
            </w:pPr>
            <w:r>
              <w:rPr>
                <w:color w:val="000000"/>
              </w:rPr>
              <w:t>179 (66.1%)</w:t>
            </w:r>
          </w:p>
        </w:tc>
        <w:tc>
          <w:tcPr>
            <w:tcW w:w="696" w:type="dxa"/>
            <w:tcBorders>
              <w:top w:val="nil"/>
              <w:left w:val="nil"/>
              <w:bottom w:val="nil"/>
              <w:right w:val="nil"/>
            </w:tcBorders>
            <w:shd w:val="clear" w:color="auto" w:fill="auto"/>
            <w:vAlign w:val="center"/>
            <w:hideMark/>
          </w:tcPr>
          <w:p w14:paraId="38CC021C" w14:textId="77777777" w:rsidR="006C346E" w:rsidRDefault="006C346E" w:rsidP="00E51A65">
            <w:pPr>
              <w:spacing w:line="480" w:lineRule="auto"/>
              <w:jc w:val="center"/>
              <w:rPr>
                <w:color w:val="000000"/>
              </w:rPr>
            </w:pPr>
            <w:r>
              <w:rPr>
                <w:color w:val="000000"/>
              </w:rPr>
              <w:t>&lt;.001</w:t>
            </w:r>
          </w:p>
        </w:tc>
      </w:tr>
      <w:tr w:rsidR="006C346E" w14:paraId="0B5439E3" w14:textId="77777777" w:rsidTr="00E51A65">
        <w:trPr>
          <w:trHeight w:val="315"/>
        </w:trPr>
        <w:tc>
          <w:tcPr>
            <w:tcW w:w="3119" w:type="dxa"/>
            <w:tcBorders>
              <w:top w:val="nil"/>
              <w:left w:val="nil"/>
              <w:bottom w:val="nil"/>
              <w:right w:val="nil"/>
            </w:tcBorders>
            <w:shd w:val="clear" w:color="auto" w:fill="auto"/>
            <w:vAlign w:val="center"/>
            <w:hideMark/>
          </w:tcPr>
          <w:p w14:paraId="2C606ABF" w14:textId="77777777" w:rsidR="006C346E" w:rsidRPr="00DB07B6" w:rsidRDefault="006C346E" w:rsidP="00E51A65">
            <w:pPr>
              <w:spacing w:line="480" w:lineRule="auto"/>
              <w:rPr>
                <w:color w:val="000000"/>
                <w:lang w:val="en-GB"/>
              </w:rPr>
            </w:pPr>
            <w:r w:rsidRPr="00DB07B6">
              <w:rPr>
                <w:color w:val="000000"/>
                <w:lang w:val="en-GB"/>
              </w:rPr>
              <w:t>Age in years</w:t>
            </w:r>
            <w:r w:rsidRPr="00DB07B6">
              <w:rPr>
                <w:i/>
                <w:iCs/>
                <w:color w:val="000000"/>
                <w:lang w:val="en-GB"/>
              </w:rPr>
              <w:t>, M (SD)</w:t>
            </w:r>
            <w:r>
              <w:rPr>
                <w:i/>
                <w:iCs/>
                <w:color w:val="000000"/>
                <w:lang w:val="en-GB"/>
              </w:rPr>
              <w:t xml:space="preserve"> </w:t>
            </w:r>
            <w:proofErr w:type="spellStart"/>
            <w:r w:rsidRPr="002D1FD0">
              <w:rPr>
                <w:iCs/>
                <w:color w:val="000000"/>
                <w:vertAlign w:val="superscript"/>
                <w:lang w:val="en-GB"/>
              </w:rPr>
              <w:t>bc</w:t>
            </w:r>
            <w:proofErr w:type="spellEnd"/>
          </w:p>
        </w:tc>
        <w:tc>
          <w:tcPr>
            <w:tcW w:w="1580" w:type="dxa"/>
            <w:tcBorders>
              <w:top w:val="nil"/>
              <w:left w:val="nil"/>
              <w:bottom w:val="nil"/>
              <w:right w:val="nil"/>
            </w:tcBorders>
            <w:shd w:val="clear" w:color="auto" w:fill="auto"/>
            <w:vAlign w:val="center"/>
            <w:hideMark/>
          </w:tcPr>
          <w:p w14:paraId="09EBE174" w14:textId="77777777" w:rsidR="006C346E" w:rsidRDefault="006C346E" w:rsidP="00E51A65">
            <w:pPr>
              <w:spacing w:line="480" w:lineRule="auto"/>
              <w:jc w:val="center"/>
              <w:rPr>
                <w:color w:val="000000"/>
              </w:rPr>
            </w:pPr>
            <w:r>
              <w:rPr>
                <w:color w:val="000000"/>
              </w:rPr>
              <w:t>18.6 (3.1)</w:t>
            </w:r>
          </w:p>
        </w:tc>
        <w:tc>
          <w:tcPr>
            <w:tcW w:w="1428" w:type="dxa"/>
            <w:tcBorders>
              <w:top w:val="nil"/>
              <w:left w:val="nil"/>
              <w:bottom w:val="nil"/>
              <w:right w:val="nil"/>
            </w:tcBorders>
            <w:shd w:val="clear" w:color="auto" w:fill="auto"/>
            <w:vAlign w:val="center"/>
            <w:hideMark/>
          </w:tcPr>
          <w:p w14:paraId="3934DE3B" w14:textId="77777777" w:rsidR="006C346E" w:rsidRDefault="006C346E" w:rsidP="00E51A65">
            <w:pPr>
              <w:spacing w:line="480" w:lineRule="auto"/>
              <w:jc w:val="center"/>
              <w:rPr>
                <w:color w:val="000000"/>
              </w:rPr>
            </w:pPr>
            <w:r>
              <w:rPr>
                <w:color w:val="000000"/>
              </w:rPr>
              <w:t>18.4 (2.8)</w:t>
            </w:r>
          </w:p>
        </w:tc>
        <w:tc>
          <w:tcPr>
            <w:tcW w:w="1549" w:type="dxa"/>
            <w:tcBorders>
              <w:top w:val="nil"/>
              <w:left w:val="nil"/>
              <w:bottom w:val="nil"/>
              <w:right w:val="nil"/>
            </w:tcBorders>
            <w:shd w:val="clear" w:color="auto" w:fill="auto"/>
            <w:vAlign w:val="center"/>
            <w:hideMark/>
          </w:tcPr>
          <w:p w14:paraId="3C3E5506" w14:textId="77777777" w:rsidR="006C346E" w:rsidRDefault="006C346E" w:rsidP="00E51A65">
            <w:pPr>
              <w:spacing w:line="480" w:lineRule="auto"/>
              <w:jc w:val="center"/>
              <w:rPr>
                <w:color w:val="000000"/>
              </w:rPr>
            </w:pPr>
            <w:r>
              <w:rPr>
                <w:color w:val="000000"/>
              </w:rPr>
              <w:t>18.8 (3.4)</w:t>
            </w:r>
          </w:p>
        </w:tc>
        <w:tc>
          <w:tcPr>
            <w:tcW w:w="1417" w:type="dxa"/>
            <w:tcBorders>
              <w:top w:val="nil"/>
              <w:left w:val="nil"/>
              <w:bottom w:val="nil"/>
              <w:right w:val="nil"/>
            </w:tcBorders>
            <w:shd w:val="clear" w:color="auto" w:fill="auto"/>
            <w:vAlign w:val="center"/>
            <w:hideMark/>
          </w:tcPr>
          <w:p w14:paraId="3E50ADFB" w14:textId="77777777" w:rsidR="006C346E" w:rsidRDefault="006C346E" w:rsidP="00E51A65">
            <w:pPr>
              <w:spacing w:line="480" w:lineRule="auto"/>
              <w:jc w:val="center"/>
              <w:rPr>
                <w:color w:val="000000"/>
              </w:rPr>
            </w:pPr>
            <w:r>
              <w:rPr>
                <w:color w:val="000000"/>
              </w:rPr>
              <w:t>18.9 (2.9)</w:t>
            </w:r>
          </w:p>
        </w:tc>
        <w:tc>
          <w:tcPr>
            <w:tcW w:w="696" w:type="dxa"/>
            <w:tcBorders>
              <w:top w:val="nil"/>
              <w:left w:val="nil"/>
              <w:bottom w:val="nil"/>
              <w:right w:val="nil"/>
            </w:tcBorders>
            <w:shd w:val="clear" w:color="auto" w:fill="auto"/>
            <w:vAlign w:val="center"/>
            <w:hideMark/>
          </w:tcPr>
          <w:p w14:paraId="382F581E" w14:textId="77777777" w:rsidR="006C346E" w:rsidRDefault="006C346E" w:rsidP="00E51A65">
            <w:pPr>
              <w:spacing w:line="480" w:lineRule="auto"/>
              <w:jc w:val="center"/>
              <w:rPr>
                <w:color w:val="000000"/>
              </w:rPr>
            </w:pPr>
            <w:r w:rsidRPr="001B7FD4">
              <w:rPr>
                <w:color w:val="000000"/>
              </w:rPr>
              <w:t>.006</w:t>
            </w:r>
          </w:p>
        </w:tc>
      </w:tr>
      <w:tr w:rsidR="006C346E" w14:paraId="02981A5E" w14:textId="77777777" w:rsidTr="00E51A65">
        <w:trPr>
          <w:trHeight w:val="315"/>
        </w:trPr>
        <w:tc>
          <w:tcPr>
            <w:tcW w:w="3119" w:type="dxa"/>
            <w:tcBorders>
              <w:top w:val="nil"/>
              <w:left w:val="nil"/>
              <w:bottom w:val="nil"/>
              <w:right w:val="nil"/>
            </w:tcBorders>
            <w:shd w:val="clear" w:color="auto" w:fill="auto"/>
            <w:vAlign w:val="center"/>
            <w:hideMark/>
          </w:tcPr>
          <w:p w14:paraId="393D7BC7" w14:textId="77777777" w:rsidR="006C346E" w:rsidRDefault="006C346E" w:rsidP="00E51A65">
            <w:pPr>
              <w:spacing w:line="480" w:lineRule="auto"/>
              <w:rPr>
                <w:color w:val="000000"/>
              </w:rPr>
            </w:pPr>
            <w:r>
              <w:rPr>
                <w:color w:val="000000"/>
              </w:rPr>
              <w:t xml:space="preserve">Educational </w:t>
            </w:r>
            <w:proofErr w:type="spellStart"/>
            <w:r>
              <w:rPr>
                <w:color w:val="000000"/>
              </w:rPr>
              <w:t>level</w:t>
            </w:r>
            <w:proofErr w:type="spellEnd"/>
            <w:r>
              <w:rPr>
                <w:color w:val="000000"/>
              </w:rPr>
              <w:t xml:space="preserve"> </w:t>
            </w:r>
            <w:proofErr w:type="spellStart"/>
            <w:r w:rsidRPr="000A02B6">
              <w:rPr>
                <w:color w:val="000000"/>
                <w:vertAlign w:val="superscript"/>
              </w:rPr>
              <w:t>ae</w:t>
            </w:r>
            <w:proofErr w:type="spellEnd"/>
          </w:p>
        </w:tc>
        <w:tc>
          <w:tcPr>
            <w:tcW w:w="1580" w:type="dxa"/>
            <w:tcBorders>
              <w:top w:val="nil"/>
              <w:left w:val="nil"/>
              <w:bottom w:val="nil"/>
              <w:right w:val="nil"/>
            </w:tcBorders>
            <w:shd w:val="clear" w:color="auto" w:fill="auto"/>
            <w:vAlign w:val="center"/>
            <w:hideMark/>
          </w:tcPr>
          <w:p w14:paraId="06C2519F" w14:textId="77777777" w:rsidR="006C346E" w:rsidRDefault="006C346E" w:rsidP="00E51A65">
            <w:pPr>
              <w:spacing w:line="480" w:lineRule="auto"/>
              <w:rPr>
                <w:color w:val="000000"/>
              </w:rPr>
            </w:pPr>
          </w:p>
        </w:tc>
        <w:tc>
          <w:tcPr>
            <w:tcW w:w="1428" w:type="dxa"/>
            <w:tcBorders>
              <w:top w:val="nil"/>
              <w:left w:val="nil"/>
              <w:bottom w:val="nil"/>
              <w:right w:val="nil"/>
            </w:tcBorders>
            <w:shd w:val="clear" w:color="auto" w:fill="auto"/>
            <w:vAlign w:val="center"/>
            <w:hideMark/>
          </w:tcPr>
          <w:p w14:paraId="67C1E972" w14:textId="77777777" w:rsidR="006C346E" w:rsidRDefault="006C346E" w:rsidP="00E51A65">
            <w:pPr>
              <w:spacing w:line="480" w:lineRule="auto"/>
              <w:rPr>
                <w:sz w:val="20"/>
                <w:szCs w:val="20"/>
              </w:rPr>
            </w:pPr>
          </w:p>
        </w:tc>
        <w:tc>
          <w:tcPr>
            <w:tcW w:w="1549" w:type="dxa"/>
            <w:tcBorders>
              <w:top w:val="nil"/>
              <w:left w:val="nil"/>
              <w:bottom w:val="nil"/>
              <w:right w:val="nil"/>
            </w:tcBorders>
            <w:shd w:val="clear" w:color="auto" w:fill="auto"/>
            <w:vAlign w:val="center"/>
            <w:hideMark/>
          </w:tcPr>
          <w:p w14:paraId="1525AC75" w14:textId="77777777" w:rsidR="006C346E" w:rsidRDefault="006C346E" w:rsidP="00E51A65">
            <w:pPr>
              <w:spacing w:line="480" w:lineRule="auto"/>
              <w:jc w:val="center"/>
              <w:rPr>
                <w:sz w:val="20"/>
                <w:szCs w:val="20"/>
              </w:rPr>
            </w:pPr>
          </w:p>
        </w:tc>
        <w:tc>
          <w:tcPr>
            <w:tcW w:w="1417" w:type="dxa"/>
            <w:tcBorders>
              <w:top w:val="nil"/>
              <w:left w:val="nil"/>
              <w:bottom w:val="nil"/>
              <w:right w:val="nil"/>
            </w:tcBorders>
            <w:shd w:val="clear" w:color="auto" w:fill="auto"/>
            <w:vAlign w:val="center"/>
            <w:hideMark/>
          </w:tcPr>
          <w:p w14:paraId="6155C983" w14:textId="77777777" w:rsidR="006C346E" w:rsidRDefault="006C346E" w:rsidP="00E51A65">
            <w:pPr>
              <w:spacing w:line="480" w:lineRule="auto"/>
              <w:jc w:val="center"/>
              <w:rPr>
                <w:sz w:val="20"/>
                <w:szCs w:val="20"/>
              </w:rPr>
            </w:pPr>
          </w:p>
        </w:tc>
        <w:tc>
          <w:tcPr>
            <w:tcW w:w="696" w:type="dxa"/>
            <w:tcBorders>
              <w:top w:val="nil"/>
              <w:left w:val="nil"/>
              <w:bottom w:val="nil"/>
              <w:right w:val="nil"/>
            </w:tcBorders>
            <w:shd w:val="clear" w:color="auto" w:fill="auto"/>
            <w:vAlign w:val="center"/>
            <w:hideMark/>
          </w:tcPr>
          <w:p w14:paraId="33208B98" w14:textId="77777777" w:rsidR="006C346E" w:rsidRDefault="006C346E" w:rsidP="00E51A65">
            <w:pPr>
              <w:spacing w:line="480" w:lineRule="auto"/>
              <w:jc w:val="center"/>
              <w:rPr>
                <w:sz w:val="20"/>
                <w:szCs w:val="20"/>
              </w:rPr>
            </w:pPr>
          </w:p>
        </w:tc>
      </w:tr>
      <w:tr w:rsidR="006C346E" w14:paraId="1B0D3FA3" w14:textId="77777777" w:rsidTr="00E51A65">
        <w:trPr>
          <w:trHeight w:val="315"/>
        </w:trPr>
        <w:tc>
          <w:tcPr>
            <w:tcW w:w="3119" w:type="dxa"/>
            <w:tcBorders>
              <w:top w:val="nil"/>
              <w:left w:val="nil"/>
              <w:bottom w:val="nil"/>
              <w:right w:val="nil"/>
            </w:tcBorders>
            <w:shd w:val="clear" w:color="auto" w:fill="auto"/>
            <w:vAlign w:val="center"/>
            <w:hideMark/>
          </w:tcPr>
          <w:p w14:paraId="20383AF4" w14:textId="77777777" w:rsidR="006C346E" w:rsidRDefault="006C346E" w:rsidP="00E51A65">
            <w:pPr>
              <w:spacing w:line="480" w:lineRule="auto"/>
              <w:ind w:firstLineChars="100" w:firstLine="240"/>
              <w:rPr>
                <w:color w:val="000000"/>
              </w:rPr>
            </w:pPr>
            <w:proofErr w:type="spellStart"/>
            <w:r>
              <w:rPr>
                <w:color w:val="000000"/>
              </w:rPr>
              <w:t>Secondary</w:t>
            </w:r>
            <w:proofErr w:type="spellEnd"/>
            <w:r>
              <w:rPr>
                <w:color w:val="000000"/>
              </w:rPr>
              <w:t xml:space="preserve"> </w:t>
            </w:r>
            <w:proofErr w:type="spellStart"/>
            <w:r>
              <w:rPr>
                <w:color w:val="000000"/>
              </w:rPr>
              <w:t>school</w:t>
            </w:r>
            <w:proofErr w:type="spellEnd"/>
          </w:p>
        </w:tc>
        <w:tc>
          <w:tcPr>
            <w:tcW w:w="1580" w:type="dxa"/>
            <w:tcBorders>
              <w:top w:val="nil"/>
              <w:left w:val="nil"/>
              <w:bottom w:val="nil"/>
              <w:right w:val="nil"/>
            </w:tcBorders>
            <w:shd w:val="clear" w:color="auto" w:fill="auto"/>
            <w:vAlign w:val="center"/>
            <w:hideMark/>
          </w:tcPr>
          <w:p w14:paraId="283A5BF7" w14:textId="77777777" w:rsidR="006C346E" w:rsidRDefault="006C346E" w:rsidP="00E51A65">
            <w:pPr>
              <w:spacing w:line="480" w:lineRule="auto"/>
              <w:jc w:val="center"/>
              <w:rPr>
                <w:color w:val="000000"/>
              </w:rPr>
            </w:pPr>
            <w:r>
              <w:rPr>
                <w:color w:val="000000"/>
              </w:rPr>
              <w:t>1180 (83.2%)</w:t>
            </w:r>
          </w:p>
        </w:tc>
        <w:tc>
          <w:tcPr>
            <w:tcW w:w="1428" w:type="dxa"/>
            <w:tcBorders>
              <w:top w:val="nil"/>
              <w:left w:val="nil"/>
              <w:bottom w:val="nil"/>
              <w:right w:val="nil"/>
            </w:tcBorders>
            <w:shd w:val="clear" w:color="auto" w:fill="auto"/>
            <w:vAlign w:val="center"/>
            <w:hideMark/>
          </w:tcPr>
          <w:p w14:paraId="61E6DB7C" w14:textId="77777777" w:rsidR="006C346E" w:rsidRDefault="006C346E" w:rsidP="00E51A65">
            <w:pPr>
              <w:spacing w:line="480" w:lineRule="auto"/>
              <w:jc w:val="center"/>
              <w:rPr>
                <w:color w:val="000000"/>
              </w:rPr>
            </w:pPr>
            <w:r>
              <w:rPr>
                <w:color w:val="000000"/>
              </w:rPr>
              <w:t>555 (85.9%)</w:t>
            </w:r>
          </w:p>
        </w:tc>
        <w:tc>
          <w:tcPr>
            <w:tcW w:w="1549" w:type="dxa"/>
            <w:tcBorders>
              <w:top w:val="nil"/>
              <w:left w:val="nil"/>
              <w:bottom w:val="nil"/>
              <w:right w:val="nil"/>
            </w:tcBorders>
            <w:shd w:val="clear" w:color="auto" w:fill="auto"/>
            <w:vAlign w:val="center"/>
            <w:hideMark/>
          </w:tcPr>
          <w:p w14:paraId="707F0C32" w14:textId="77777777" w:rsidR="006C346E" w:rsidRDefault="006C346E" w:rsidP="00E51A65">
            <w:pPr>
              <w:spacing w:line="480" w:lineRule="auto"/>
              <w:jc w:val="center"/>
              <w:rPr>
                <w:color w:val="000000"/>
              </w:rPr>
            </w:pPr>
            <w:r>
              <w:rPr>
                <w:color w:val="000000"/>
              </w:rPr>
              <w:t>401 (80.0%)</w:t>
            </w:r>
          </w:p>
        </w:tc>
        <w:tc>
          <w:tcPr>
            <w:tcW w:w="1417" w:type="dxa"/>
            <w:tcBorders>
              <w:top w:val="nil"/>
              <w:left w:val="nil"/>
              <w:bottom w:val="nil"/>
              <w:right w:val="nil"/>
            </w:tcBorders>
            <w:shd w:val="clear" w:color="auto" w:fill="auto"/>
            <w:vAlign w:val="center"/>
            <w:hideMark/>
          </w:tcPr>
          <w:p w14:paraId="5503C66F" w14:textId="77777777" w:rsidR="006C346E" w:rsidRDefault="006C346E" w:rsidP="00E51A65">
            <w:pPr>
              <w:spacing w:line="480" w:lineRule="auto"/>
              <w:jc w:val="center"/>
              <w:rPr>
                <w:color w:val="000000"/>
              </w:rPr>
            </w:pPr>
            <w:r>
              <w:rPr>
                <w:color w:val="000000"/>
              </w:rPr>
              <w:t>224 (82.7%)</w:t>
            </w:r>
          </w:p>
        </w:tc>
        <w:tc>
          <w:tcPr>
            <w:tcW w:w="696" w:type="dxa"/>
            <w:tcBorders>
              <w:top w:val="nil"/>
              <w:left w:val="nil"/>
              <w:bottom w:val="nil"/>
              <w:right w:val="nil"/>
            </w:tcBorders>
            <w:shd w:val="clear" w:color="auto" w:fill="auto"/>
            <w:vAlign w:val="center"/>
            <w:hideMark/>
          </w:tcPr>
          <w:p w14:paraId="0CE07C4D" w14:textId="77777777" w:rsidR="006C346E" w:rsidRDefault="006C346E" w:rsidP="00E51A65">
            <w:pPr>
              <w:spacing w:line="480" w:lineRule="auto"/>
              <w:jc w:val="center"/>
              <w:rPr>
                <w:color w:val="000000"/>
              </w:rPr>
            </w:pPr>
            <w:r w:rsidRPr="001B7FD4">
              <w:rPr>
                <w:color w:val="000000"/>
              </w:rPr>
              <w:t>.0</w:t>
            </w:r>
            <w:r>
              <w:rPr>
                <w:color w:val="000000"/>
              </w:rPr>
              <w:t>4</w:t>
            </w:r>
          </w:p>
        </w:tc>
      </w:tr>
      <w:tr w:rsidR="006C346E" w14:paraId="1BFB9EEC" w14:textId="77777777" w:rsidTr="00E51A65">
        <w:trPr>
          <w:trHeight w:val="315"/>
        </w:trPr>
        <w:tc>
          <w:tcPr>
            <w:tcW w:w="3119" w:type="dxa"/>
            <w:tcBorders>
              <w:top w:val="nil"/>
              <w:left w:val="nil"/>
              <w:bottom w:val="nil"/>
              <w:right w:val="nil"/>
            </w:tcBorders>
            <w:shd w:val="clear" w:color="auto" w:fill="auto"/>
            <w:vAlign w:val="center"/>
            <w:hideMark/>
          </w:tcPr>
          <w:p w14:paraId="664F0364" w14:textId="77777777" w:rsidR="006C346E" w:rsidRDefault="006C346E" w:rsidP="00E51A65">
            <w:pPr>
              <w:spacing w:line="480" w:lineRule="auto"/>
              <w:ind w:firstLineChars="100" w:firstLine="240"/>
              <w:rPr>
                <w:color w:val="000000"/>
              </w:rPr>
            </w:pPr>
            <w:proofErr w:type="spellStart"/>
            <w:r>
              <w:rPr>
                <w:color w:val="000000"/>
              </w:rPr>
              <w:t>Vocational</w:t>
            </w:r>
            <w:proofErr w:type="spellEnd"/>
            <w:r>
              <w:rPr>
                <w:color w:val="000000"/>
              </w:rPr>
              <w:t xml:space="preserve"> </w:t>
            </w:r>
            <w:proofErr w:type="spellStart"/>
            <w:r>
              <w:rPr>
                <w:color w:val="000000"/>
              </w:rPr>
              <w:t>school</w:t>
            </w:r>
            <w:proofErr w:type="spellEnd"/>
          </w:p>
        </w:tc>
        <w:tc>
          <w:tcPr>
            <w:tcW w:w="1580" w:type="dxa"/>
            <w:tcBorders>
              <w:top w:val="nil"/>
              <w:left w:val="nil"/>
              <w:bottom w:val="nil"/>
              <w:right w:val="nil"/>
            </w:tcBorders>
            <w:shd w:val="clear" w:color="auto" w:fill="auto"/>
            <w:vAlign w:val="center"/>
            <w:hideMark/>
          </w:tcPr>
          <w:p w14:paraId="0041EF7E" w14:textId="77777777" w:rsidR="006C346E" w:rsidRDefault="006C346E" w:rsidP="00E51A65">
            <w:pPr>
              <w:spacing w:line="480" w:lineRule="auto"/>
              <w:jc w:val="center"/>
              <w:rPr>
                <w:color w:val="000000"/>
              </w:rPr>
            </w:pPr>
            <w:r>
              <w:rPr>
                <w:color w:val="000000"/>
              </w:rPr>
              <w:t>189 (13.3%)</w:t>
            </w:r>
          </w:p>
        </w:tc>
        <w:tc>
          <w:tcPr>
            <w:tcW w:w="1428" w:type="dxa"/>
            <w:tcBorders>
              <w:top w:val="nil"/>
              <w:left w:val="nil"/>
              <w:bottom w:val="nil"/>
              <w:right w:val="nil"/>
            </w:tcBorders>
            <w:shd w:val="clear" w:color="auto" w:fill="auto"/>
            <w:vAlign w:val="center"/>
            <w:hideMark/>
          </w:tcPr>
          <w:p w14:paraId="7C8D7848" w14:textId="77777777" w:rsidR="006C346E" w:rsidRDefault="006C346E" w:rsidP="00E51A65">
            <w:pPr>
              <w:spacing w:line="480" w:lineRule="auto"/>
              <w:jc w:val="center"/>
              <w:rPr>
                <w:color w:val="000000"/>
              </w:rPr>
            </w:pPr>
            <w:r>
              <w:rPr>
                <w:color w:val="000000"/>
              </w:rPr>
              <w:t>67 (10.4%)</w:t>
            </w:r>
          </w:p>
        </w:tc>
        <w:tc>
          <w:tcPr>
            <w:tcW w:w="1549" w:type="dxa"/>
            <w:tcBorders>
              <w:top w:val="nil"/>
              <w:left w:val="nil"/>
              <w:bottom w:val="nil"/>
              <w:right w:val="nil"/>
            </w:tcBorders>
            <w:shd w:val="clear" w:color="auto" w:fill="auto"/>
            <w:vAlign w:val="center"/>
            <w:hideMark/>
          </w:tcPr>
          <w:p w14:paraId="5A4C553F" w14:textId="77777777" w:rsidR="006C346E" w:rsidRDefault="006C346E" w:rsidP="00E51A65">
            <w:pPr>
              <w:spacing w:line="480" w:lineRule="auto"/>
              <w:jc w:val="center"/>
              <w:rPr>
                <w:color w:val="000000"/>
              </w:rPr>
            </w:pPr>
            <w:r>
              <w:rPr>
                <w:color w:val="000000"/>
              </w:rPr>
              <w:t>86 (17.2%)</w:t>
            </w:r>
          </w:p>
        </w:tc>
        <w:tc>
          <w:tcPr>
            <w:tcW w:w="1417" w:type="dxa"/>
            <w:tcBorders>
              <w:top w:val="nil"/>
              <w:left w:val="nil"/>
              <w:bottom w:val="nil"/>
              <w:right w:val="nil"/>
            </w:tcBorders>
            <w:shd w:val="clear" w:color="auto" w:fill="auto"/>
            <w:vAlign w:val="center"/>
            <w:hideMark/>
          </w:tcPr>
          <w:p w14:paraId="3D6F3A1D" w14:textId="77777777" w:rsidR="006C346E" w:rsidRDefault="006C346E" w:rsidP="00E51A65">
            <w:pPr>
              <w:spacing w:line="480" w:lineRule="auto"/>
              <w:jc w:val="center"/>
              <w:rPr>
                <w:color w:val="000000"/>
              </w:rPr>
            </w:pPr>
            <w:r>
              <w:rPr>
                <w:color w:val="000000"/>
              </w:rPr>
              <w:t>36 (13.3%)</w:t>
            </w:r>
          </w:p>
        </w:tc>
        <w:tc>
          <w:tcPr>
            <w:tcW w:w="696" w:type="dxa"/>
            <w:tcBorders>
              <w:top w:val="nil"/>
              <w:left w:val="nil"/>
              <w:bottom w:val="nil"/>
              <w:right w:val="nil"/>
            </w:tcBorders>
            <w:shd w:val="clear" w:color="auto" w:fill="auto"/>
            <w:vAlign w:val="center"/>
            <w:hideMark/>
          </w:tcPr>
          <w:p w14:paraId="6F153769" w14:textId="77777777" w:rsidR="006C346E" w:rsidRDefault="006C346E" w:rsidP="00E51A65">
            <w:pPr>
              <w:spacing w:line="480" w:lineRule="auto"/>
              <w:jc w:val="center"/>
              <w:rPr>
                <w:color w:val="000000"/>
              </w:rPr>
            </w:pPr>
          </w:p>
        </w:tc>
      </w:tr>
      <w:tr w:rsidR="006C346E" w14:paraId="25C939EE" w14:textId="77777777" w:rsidTr="00E51A65">
        <w:trPr>
          <w:trHeight w:val="630"/>
        </w:trPr>
        <w:tc>
          <w:tcPr>
            <w:tcW w:w="3119" w:type="dxa"/>
            <w:tcBorders>
              <w:top w:val="nil"/>
              <w:left w:val="nil"/>
              <w:bottom w:val="nil"/>
              <w:right w:val="nil"/>
            </w:tcBorders>
            <w:shd w:val="clear" w:color="auto" w:fill="auto"/>
            <w:vAlign w:val="center"/>
            <w:hideMark/>
          </w:tcPr>
          <w:p w14:paraId="1F0C8D3E" w14:textId="77777777" w:rsidR="006C346E" w:rsidRPr="00DB07B6" w:rsidRDefault="006C346E" w:rsidP="00E51A65">
            <w:pPr>
              <w:spacing w:line="480" w:lineRule="auto"/>
              <w:ind w:firstLineChars="100" w:firstLine="240"/>
              <w:rPr>
                <w:color w:val="000000"/>
                <w:lang w:val="en-GB"/>
              </w:rPr>
            </w:pPr>
            <w:r w:rsidRPr="00DB07B6">
              <w:rPr>
                <w:color w:val="000000"/>
                <w:lang w:val="en-GB"/>
              </w:rPr>
              <w:t>Technical/ high school or University</w:t>
            </w:r>
          </w:p>
        </w:tc>
        <w:tc>
          <w:tcPr>
            <w:tcW w:w="1580" w:type="dxa"/>
            <w:tcBorders>
              <w:top w:val="nil"/>
              <w:left w:val="nil"/>
              <w:bottom w:val="nil"/>
              <w:right w:val="nil"/>
            </w:tcBorders>
            <w:shd w:val="clear" w:color="auto" w:fill="auto"/>
            <w:vAlign w:val="center"/>
            <w:hideMark/>
          </w:tcPr>
          <w:p w14:paraId="3F933E44" w14:textId="77777777" w:rsidR="006C346E" w:rsidRDefault="006C346E" w:rsidP="00E51A65">
            <w:pPr>
              <w:spacing w:line="480" w:lineRule="auto"/>
              <w:jc w:val="center"/>
              <w:rPr>
                <w:color w:val="000000"/>
              </w:rPr>
            </w:pPr>
            <w:r>
              <w:rPr>
                <w:color w:val="000000"/>
              </w:rPr>
              <w:t>30 (2.1%)</w:t>
            </w:r>
          </w:p>
        </w:tc>
        <w:tc>
          <w:tcPr>
            <w:tcW w:w="1428" w:type="dxa"/>
            <w:tcBorders>
              <w:top w:val="nil"/>
              <w:left w:val="nil"/>
              <w:bottom w:val="nil"/>
              <w:right w:val="nil"/>
            </w:tcBorders>
            <w:shd w:val="clear" w:color="auto" w:fill="auto"/>
            <w:vAlign w:val="center"/>
            <w:hideMark/>
          </w:tcPr>
          <w:p w14:paraId="0EC8A021" w14:textId="77777777" w:rsidR="006C346E" w:rsidRDefault="006C346E" w:rsidP="00E51A65">
            <w:pPr>
              <w:spacing w:line="480" w:lineRule="auto"/>
              <w:jc w:val="center"/>
              <w:rPr>
                <w:color w:val="000000"/>
              </w:rPr>
            </w:pPr>
            <w:r>
              <w:rPr>
                <w:color w:val="000000"/>
              </w:rPr>
              <w:t>13 (2.0%)</w:t>
            </w:r>
          </w:p>
        </w:tc>
        <w:tc>
          <w:tcPr>
            <w:tcW w:w="1549" w:type="dxa"/>
            <w:tcBorders>
              <w:top w:val="nil"/>
              <w:left w:val="nil"/>
              <w:bottom w:val="nil"/>
              <w:right w:val="nil"/>
            </w:tcBorders>
            <w:shd w:val="clear" w:color="auto" w:fill="auto"/>
            <w:vAlign w:val="center"/>
            <w:hideMark/>
          </w:tcPr>
          <w:p w14:paraId="41B3DB45" w14:textId="77777777" w:rsidR="006C346E" w:rsidRDefault="006C346E" w:rsidP="00E51A65">
            <w:pPr>
              <w:spacing w:line="480" w:lineRule="auto"/>
              <w:jc w:val="center"/>
              <w:rPr>
                <w:color w:val="000000"/>
              </w:rPr>
            </w:pPr>
            <w:r>
              <w:rPr>
                <w:color w:val="000000"/>
              </w:rPr>
              <w:t>10 (2.0%)</w:t>
            </w:r>
          </w:p>
        </w:tc>
        <w:tc>
          <w:tcPr>
            <w:tcW w:w="1417" w:type="dxa"/>
            <w:tcBorders>
              <w:top w:val="nil"/>
              <w:left w:val="nil"/>
              <w:bottom w:val="nil"/>
              <w:right w:val="nil"/>
            </w:tcBorders>
            <w:shd w:val="clear" w:color="auto" w:fill="auto"/>
            <w:vAlign w:val="center"/>
            <w:hideMark/>
          </w:tcPr>
          <w:p w14:paraId="2BEFB245" w14:textId="77777777" w:rsidR="006C346E" w:rsidRDefault="006C346E" w:rsidP="00E51A65">
            <w:pPr>
              <w:spacing w:line="480" w:lineRule="auto"/>
              <w:jc w:val="center"/>
              <w:rPr>
                <w:color w:val="000000"/>
              </w:rPr>
            </w:pPr>
            <w:r>
              <w:rPr>
                <w:color w:val="000000"/>
              </w:rPr>
              <w:t>7 (2.6%)</w:t>
            </w:r>
          </w:p>
        </w:tc>
        <w:tc>
          <w:tcPr>
            <w:tcW w:w="696" w:type="dxa"/>
            <w:tcBorders>
              <w:top w:val="nil"/>
              <w:left w:val="nil"/>
              <w:bottom w:val="nil"/>
              <w:right w:val="nil"/>
            </w:tcBorders>
            <w:shd w:val="clear" w:color="auto" w:fill="auto"/>
            <w:vAlign w:val="center"/>
            <w:hideMark/>
          </w:tcPr>
          <w:p w14:paraId="2596D07E" w14:textId="77777777" w:rsidR="006C346E" w:rsidRDefault="006C346E" w:rsidP="00E51A65">
            <w:pPr>
              <w:spacing w:line="480" w:lineRule="auto"/>
              <w:jc w:val="center"/>
              <w:rPr>
                <w:color w:val="000000"/>
              </w:rPr>
            </w:pPr>
          </w:p>
        </w:tc>
      </w:tr>
      <w:tr w:rsidR="006C346E" w14:paraId="411BD453" w14:textId="77777777" w:rsidTr="00E51A65">
        <w:trPr>
          <w:trHeight w:val="315"/>
        </w:trPr>
        <w:tc>
          <w:tcPr>
            <w:tcW w:w="3119" w:type="dxa"/>
            <w:tcBorders>
              <w:top w:val="nil"/>
              <w:left w:val="nil"/>
              <w:bottom w:val="nil"/>
              <w:right w:val="nil"/>
            </w:tcBorders>
            <w:shd w:val="clear" w:color="auto" w:fill="auto"/>
            <w:vAlign w:val="center"/>
            <w:hideMark/>
          </w:tcPr>
          <w:p w14:paraId="33C0363B" w14:textId="631F84D1" w:rsidR="006C346E" w:rsidRDefault="000D5020" w:rsidP="00E51A65">
            <w:pPr>
              <w:spacing w:line="480" w:lineRule="auto"/>
              <w:ind w:firstLineChars="100" w:firstLine="240"/>
              <w:rPr>
                <w:color w:val="000000"/>
              </w:rPr>
            </w:pPr>
            <w:proofErr w:type="spellStart"/>
            <w:r>
              <w:rPr>
                <w:color w:val="000000"/>
              </w:rPr>
              <w:t>U</w:t>
            </w:r>
            <w:r w:rsidR="006C346E">
              <w:rPr>
                <w:color w:val="000000"/>
              </w:rPr>
              <w:t>nknown</w:t>
            </w:r>
            <w:proofErr w:type="spellEnd"/>
          </w:p>
        </w:tc>
        <w:tc>
          <w:tcPr>
            <w:tcW w:w="1580" w:type="dxa"/>
            <w:tcBorders>
              <w:top w:val="nil"/>
              <w:left w:val="nil"/>
              <w:bottom w:val="nil"/>
              <w:right w:val="nil"/>
            </w:tcBorders>
            <w:shd w:val="clear" w:color="auto" w:fill="auto"/>
            <w:vAlign w:val="center"/>
            <w:hideMark/>
          </w:tcPr>
          <w:p w14:paraId="6FED35F2" w14:textId="77777777" w:rsidR="006C346E" w:rsidRDefault="006C346E" w:rsidP="00E51A65">
            <w:pPr>
              <w:spacing w:line="480" w:lineRule="auto"/>
              <w:jc w:val="center"/>
              <w:rPr>
                <w:color w:val="000000"/>
              </w:rPr>
            </w:pPr>
            <w:r>
              <w:rPr>
                <w:color w:val="000000"/>
              </w:rPr>
              <w:t>19 (1.3%)</w:t>
            </w:r>
          </w:p>
        </w:tc>
        <w:tc>
          <w:tcPr>
            <w:tcW w:w="1428" w:type="dxa"/>
            <w:tcBorders>
              <w:top w:val="nil"/>
              <w:left w:val="nil"/>
              <w:bottom w:val="nil"/>
              <w:right w:val="nil"/>
            </w:tcBorders>
            <w:shd w:val="clear" w:color="auto" w:fill="auto"/>
            <w:vAlign w:val="center"/>
            <w:hideMark/>
          </w:tcPr>
          <w:p w14:paraId="7A3B6DCF" w14:textId="77777777" w:rsidR="006C346E" w:rsidRDefault="006C346E" w:rsidP="00E51A65">
            <w:pPr>
              <w:spacing w:line="480" w:lineRule="auto"/>
              <w:jc w:val="center"/>
              <w:rPr>
                <w:color w:val="000000"/>
              </w:rPr>
            </w:pPr>
            <w:r>
              <w:rPr>
                <w:color w:val="000000"/>
              </w:rPr>
              <w:t>11 (1.7%)</w:t>
            </w:r>
          </w:p>
        </w:tc>
        <w:tc>
          <w:tcPr>
            <w:tcW w:w="1549" w:type="dxa"/>
            <w:tcBorders>
              <w:top w:val="nil"/>
              <w:left w:val="nil"/>
              <w:bottom w:val="nil"/>
              <w:right w:val="nil"/>
            </w:tcBorders>
            <w:shd w:val="clear" w:color="auto" w:fill="auto"/>
            <w:vAlign w:val="center"/>
            <w:hideMark/>
          </w:tcPr>
          <w:p w14:paraId="54F0A9CA" w14:textId="77777777" w:rsidR="006C346E" w:rsidRDefault="006C346E" w:rsidP="00E51A65">
            <w:pPr>
              <w:spacing w:line="480" w:lineRule="auto"/>
              <w:jc w:val="center"/>
              <w:rPr>
                <w:color w:val="000000"/>
              </w:rPr>
            </w:pPr>
            <w:r>
              <w:rPr>
                <w:color w:val="000000"/>
              </w:rPr>
              <w:t>4 (0.8%)</w:t>
            </w:r>
          </w:p>
        </w:tc>
        <w:tc>
          <w:tcPr>
            <w:tcW w:w="1417" w:type="dxa"/>
            <w:tcBorders>
              <w:top w:val="nil"/>
              <w:left w:val="nil"/>
              <w:bottom w:val="nil"/>
              <w:right w:val="nil"/>
            </w:tcBorders>
            <w:shd w:val="clear" w:color="auto" w:fill="auto"/>
            <w:vAlign w:val="center"/>
            <w:hideMark/>
          </w:tcPr>
          <w:p w14:paraId="2FAE9382" w14:textId="77777777" w:rsidR="006C346E" w:rsidRDefault="006C346E" w:rsidP="00E51A65">
            <w:pPr>
              <w:spacing w:line="480" w:lineRule="auto"/>
              <w:jc w:val="center"/>
              <w:rPr>
                <w:color w:val="000000"/>
              </w:rPr>
            </w:pPr>
            <w:r>
              <w:rPr>
                <w:color w:val="000000"/>
              </w:rPr>
              <w:t>4 (1.5%)</w:t>
            </w:r>
          </w:p>
        </w:tc>
        <w:tc>
          <w:tcPr>
            <w:tcW w:w="696" w:type="dxa"/>
            <w:tcBorders>
              <w:top w:val="nil"/>
              <w:left w:val="nil"/>
              <w:bottom w:val="nil"/>
              <w:right w:val="nil"/>
            </w:tcBorders>
            <w:shd w:val="clear" w:color="auto" w:fill="auto"/>
            <w:vAlign w:val="center"/>
            <w:hideMark/>
          </w:tcPr>
          <w:p w14:paraId="575DB5FF" w14:textId="77777777" w:rsidR="006C346E" w:rsidRDefault="006C346E" w:rsidP="00E51A65">
            <w:pPr>
              <w:spacing w:line="480" w:lineRule="auto"/>
              <w:jc w:val="center"/>
              <w:rPr>
                <w:color w:val="000000"/>
              </w:rPr>
            </w:pPr>
          </w:p>
        </w:tc>
      </w:tr>
      <w:tr w:rsidR="006C346E" w14:paraId="3230AD7E" w14:textId="77777777" w:rsidTr="00E51A65">
        <w:trPr>
          <w:trHeight w:val="1005"/>
        </w:trPr>
        <w:tc>
          <w:tcPr>
            <w:tcW w:w="3119" w:type="dxa"/>
            <w:tcBorders>
              <w:top w:val="nil"/>
              <w:left w:val="nil"/>
              <w:bottom w:val="nil"/>
              <w:right w:val="nil"/>
            </w:tcBorders>
            <w:shd w:val="clear" w:color="auto" w:fill="auto"/>
            <w:vAlign w:val="bottom"/>
            <w:hideMark/>
          </w:tcPr>
          <w:p w14:paraId="63AD4213" w14:textId="4B3732B9" w:rsidR="006C346E" w:rsidRPr="00DB07B6" w:rsidRDefault="006C346E" w:rsidP="00A50322">
            <w:pPr>
              <w:spacing w:line="480" w:lineRule="auto"/>
              <w:rPr>
                <w:rFonts w:ascii="Times" w:hAnsi="Times" w:cs="Times"/>
                <w:color w:val="000000"/>
                <w:lang w:val="en-GB"/>
              </w:rPr>
            </w:pPr>
            <w:r w:rsidRPr="00DB07B6">
              <w:rPr>
                <w:rFonts w:ascii="Times" w:hAnsi="Times" w:cs="Times"/>
                <w:color w:val="000000"/>
                <w:lang w:val="en-GB"/>
              </w:rPr>
              <w:t xml:space="preserve">Hours of moderate to vigorous </w:t>
            </w:r>
            <w:r w:rsidR="00A50322" w:rsidRPr="00DB07B6">
              <w:rPr>
                <w:rFonts w:ascii="Times" w:hAnsi="Times" w:cs="Times"/>
                <w:color w:val="000000"/>
                <w:lang w:val="en-GB"/>
              </w:rPr>
              <w:t xml:space="preserve">extracurricular </w:t>
            </w:r>
            <w:r w:rsidRPr="00DB07B6">
              <w:rPr>
                <w:rFonts w:ascii="Times" w:hAnsi="Times" w:cs="Times"/>
                <w:color w:val="000000"/>
                <w:lang w:val="en-GB"/>
              </w:rPr>
              <w:t xml:space="preserve">physical activity per week, </w:t>
            </w:r>
            <w:r w:rsidRPr="000E42AF">
              <w:rPr>
                <w:rFonts w:ascii="Times" w:hAnsi="Times" w:cs="Times"/>
                <w:i/>
                <w:color w:val="000000"/>
                <w:lang w:val="en-GB"/>
              </w:rPr>
              <w:t>M</w:t>
            </w:r>
            <w:r w:rsidRPr="00DB07B6">
              <w:rPr>
                <w:rFonts w:ascii="Times" w:hAnsi="Times" w:cs="Times"/>
                <w:color w:val="000000"/>
                <w:lang w:val="en-GB"/>
              </w:rPr>
              <w:t xml:space="preserve"> </w:t>
            </w:r>
            <w:r w:rsidRPr="000E42AF">
              <w:rPr>
                <w:rFonts w:ascii="Times" w:hAnsi="Times" w:cs="Times"/>
                <w:i/>
                <w:color w:val="000000"/>
                <w:lang w:val="en-GB"/>
              </w:rPr>
              <w:t>(SD)</w:t>
            </w:r>
            <w:r w:rsidRPr="00DB07B6">
              <w:rPr>
                <w:rFonts w:ascii="Times" w:hAnsi="Times" w:cs="Times"/>
                <w:color w:val="000000"/>
                <w:lang w:val="en-GB"/>
              </w:rPr>
              <w:t xml:space="preserve"> </w:t>
            </w:r>
            <w:proofErr w:type="spellStart"/>
            <w:r w:rsidRPr="002D1FD0">
              <w:rPr>
                <w:iCs/>
                <w:color w:val="000000"/>
                <w:vertAlign w:val="superscript"/>
                <w:lang w:val="en-GB"/>
              </w:rPr>
              <w:t>bc</w:t>
            </w:r>
            <w:proofErr w:type="spellEnd"/>
          </w:p>
        </w:tc>
        <w:tc>
          <w:tcPr>
            <w:tcW w:w="1580" w:type="dxa"/>
            <w:tcBorders>
              <w:top w:val="nil"/>
              <w:left w:val="nil"/>
              <w:bottom w:val="nil"/>
              <w:right w:val="nil"/>
            </w:tcBorders>
            <w:shd w:val="clear" w:color="auto" w:fill="auto"/>
            <w:vAlign w:val="center"/>
            <w:hideMark/>
          </w:tcPr>
          <w:p w14:paraId="08CCCF83" w14:textId="77777777" w:rsidR="006C346E" w:rsidRDefault="006C346E" w:rsidP="00E51A65">
            <w:pPr>
              <w:spacing w:line="480" w:lineRule="auto"/>
              <w:jc w:val="center"/>
              <w:rPr>
                <w:color w:val="000000"/>
              </w:rPr>
            </w:pPr>
            <w:r>
              <w:rPr>
                <w:color w:val="000000"/>
              </w:rPr>
              <w:t>3.5 (3.6)</w:t>
            </w:r>
          </w:p>
        </w:tc>
        <w:tc>
          <w:tcPr>
            <w:tcW w:w="1428" w:type="dxa"/>
            <w:tcBorders>
              <w:top w:val="nil"/>
              <w:left w:val="nil"/>
              <w:bottom w:val="nil"/>
              <w:right w:val="nil"/>
            </w:tcBorders>
            <w:shd w:val="clear" w:color="auto" w:fill="auto"/>
            <w:vAlign w:val="center"/>
            <w:hideMark/>
          </w:tcPr>
          <w:p w14:paraId="34418AB0" w14:textId="77777777" w:rsidR="006C346E" w:rsidRDefault="006C346E" w:rsidP="00E51A65">
            <w:pPr>
              <w:spacing w:line="480" w:lineRule="auto"/>
              <w:jc w:val="center"/>
              <w:rPr>
                <w:rFonts w:ascii="Times" w:hAnsi="Times" w:cs="Times"/>
                <w:color w:val="000000"/>
              </w:rPr>
            </w:pPr>
            <w:r>
              <w:rPr>
                <w:rFonts w:ascii="Times" w:hAnsi="Times" w:cs="Times"/>
                <w:color w:val="000000"/>
              </w:rPr>
              <w:t>3.4 (3.4)</w:t>
            </w:r>
          </w:p>
        </w:tc>
        <w:tc>
          <w:tcPr>
            <w:tcW w:w="1549" w:type="dxa"/>
            <w:tcBorders>
              <w:top w:val="nil"/>
              <w:left w:val="nil"/>
              <w:bottom w:val="nil"/>
              <w:right w:val="nil"/>
            </w:tcBorders>
            <w:shd w:val="clear" w:color="auto" w:fill="auto"/>
            <w:vAlign w:val="center"/>
            <w:hideMark/>
          </w:tcPr>
          <w:p w14:paraId="51726152" w14:textId="77777777" w:rsidR="006C346E" w:rsidRDefault="006C346E" w:rsidP="00E51A65">
            <w:pPr>
              <w:spacing w:line="480" w:lineRule="auto"/>
              <w:jc w:val="center"/>
              <w:rPr>
                <w:color w:val="000000"/>
              </w:rPr>
            </w:pPr>
            <w:r>
              <w:rPr>
                <w:color w:val="000000"/>
              </w:rPr>
              <w:t>3.7 (3.8)</w:t>
            </w:r>
          </w:p>
        </w:tc>
        <w:tc>
          <w:tcPr>
            <w:tcW w:w="1417" w:type="dxa"/>
            <w:tcBorders>
              <w:top w:val="nil"/>
              <w:left w:val="nil"/>
              <w:bottom w:val="nil"/>
              <w:right w:val="nil"/>
            </w:tcBorders>
            <w:shd w:val="clear" w:color="auto" w:fill="auto"/>
            <w:vAlign w:val="center"/>
            <w:hideMark/>
          </w:tcPr>
          <w:p w14:paraId="2C0C6965" w14:textId="77777777" w:rsidR="006C346E" w:rsidRDefault="006C346E" w:rsidP="00E51A65">
            <w:pPr>
              <w:spacing w:line="480" w:lineRule="auto"/>
              <w:jc w:val="center"/>
              <w:rPr>
                <w:color w:val="000000"/>
              </w:rPr>
            </w:pPr>
            <w:r>
              <w:rPr>
                <w:color w:val="000000"/>
              </w:rPr>
              <w:t>3.2 (3.6)</w:t>
            </w:r>
          </w:p>
        </w:tc>
        <w:tc>
          <w:tcPr>
            <w:tcW w:w="696" w:type="dxa"/>
            <w:tcBorders>
              <w:top w:val="nil"/>
              <w:left w:val="nil"/>
              <w:bottom w:val="nil"/>
              <w:right w:val="nil"/>
            </w:tcBorders>
            <w:shd w:val="clear" w:color="auto" w:fill="auto"/>
            <w:vAlign w:val="center"/>
            <w:hideMark/>
          </w:tcPr>
          <w:p w14:paraId="73342307" w14:textId="77777777" w:rsidR="006C346E" w:rsidRDefault="006C346E" w:rsidP="00E51A65">
            <w:pPr>
              <w:spacing w:line="480" w:lineRule="auto"/>
              <w:jc w:val="center"/>
              <w:rPr>
                <w:color w:val="000000"/>
              </w:rPr>
            </w:pPr>
            <w:r>
              <w:rPr>
                <w:color w:val="000000"/>
              </w:rPr>
              <w:t>.08</w:t>
            </w:r>
          </w:p>
        </w:tc>
      </w:tr>
      <w:tr w:rsidR="006C346E" w14:paraId="5BD20F38" w14:textId="77777777" w:rsidTr="00E51A65">
        <w:trPr>
          <w:trHeight w:val="945"/>
        </w:trPr>
        <w:tc>
          <w:tcPr>
            <w:tcW w:w="3119" w:type="dxa"/>
            <w:tcBorders>
              <w:top w:val="nil"/>
              <w:left w:val="nil"/>
              <w:bottom w:val="nil"/>
              <w:right w:val="nil"/>
            </w:tcBorders>
            <w:shd w:val="clear" w:color="auto" w:fill="auto"/>
            <w:vAlign w:val="bottom"/>
            <w:hideMark/>
          </w:tcPr>
          <w:p w14:paraId="107C8E9F" w14:textId="77777777" w:rsidR="006C346E" w:rsidRPr="00DB07B6" w:rsidRDefault="006C346E" w:rsidP="00E51A65">
            <w:pPr>
              <w:spacing w:line="480" w:lineRule="auto"/>
              <w:rPr>
                <w:rFonts w:ascii="Times" w:hAnsi="Times" w:cs="Times"/>
                <w:color w:val="000000"/>
                <w:lang w:val="en-GB"/>
              </w:rPr>
            </w:pPr>
            <w:r w:rsidRPr="00DB07B6">
              <w:rPr>
                <w:rFonts w:ascii="Times" w:hAnsi="Times" w:cs="Times"/>
                <w:color w:val="000000"/>
                <w:lang w:val="en-GB"/>
              </w:rPr>
              <w:t>Number of alcohol</w:t>
            </w:r>
            <w:r w:rsidR="000D5020">
              <w:rPr>
                <w:rFonts w:ascii="Times" w:hAnsi="Times" w:cs="Times"/>
                <w:color w:val="000000"/>
                <w:lang w:val="en-GB"/>
              </w:rPr>
              <w:t>ic</w:t>
            </w:r>
            <w:r w:rsidRPr="00DB07B6">
              <w:rPr>
                <w:rFonts w:ascii="Times" w:hAnsi="Times" w:cs="Times"/>
                <w:color w:val="000000"/>
                <w:lang w:val="en-GB"/>
              </w:rPr>
              <w:t xml:space="preserve"> drinks consumed per week, </w:t>
            </w:r>
            <w:r w:rsidRPr="000E42AF">
              <w:rPr>
                <w:rFonts w:ascii="Times" w:hAnsi="Times" w:cs="Times"/>
                <w:i/>
                <w:color w:val="000000"/>
                <w:lang w:val="en-GB"/>
              </w:rPr>
              <w:t>M</w:t>
            </w:r>
            <w:r w:rsidRPr="00DB07B6">
              <w:rPr>
                <w:rFonts w:ascii="Times" w:hAnsi="Times" w:cs="Times"/>
                <w:color w:val="000000"/>
                <w:lang w:val="en-GB"/>
              </w:rPr>
              <w:t xml:space="preserve"> </w:t>
            </w:r>
            <w:r w:rsidRPr="000E42AF">
              <w:rPr>
                <w:rFonts w:ascii="Times" w:hAnsi="Times" w:cs="Times"/>
                <w:i/>
                <w:color w:val="000000"/>
                <w:lang w:val="en-GB"/>
              </w:rPr>
              <w:t>(SD)</w:t>
            </w:r>
            <w:r w:rsidRPr="00DB07B6">
              <w:rPr>
                <w:rFonts w:ascii="Times" w:hAnsi="Times" w:cs="Times"/>
                <w:color w:val="000000"/>
                <w:lang w:val="en-GB"/>
              </w:rPr>
              <w:t xml:space="preserve"> </w:t>
            </w:r>
            <w:proofErr w:type="spellStart"/>
            <w:r w:rsidRPr="002D1FD0">
              <w:rPr>
                <w:iCs/>
                <w:color w:val="000000"/>
                <w:vertAlign w:val="superscript"/>
                <w:lang w:val="en-GB"/>
              </w:rPr>
              <w:t>bc</w:t>
            </w:r>
            <w:proofErr w:type="spellEnd"/>
          </w:p>
        </w:tc>
        <w:tc>
          <w:tcPr>
            <w:tcW w:w="1580" w:type="dxa"/>
            <w:tcBorders>
              <w:top w:val="nil"/>
              <w:left w:val="nil"/>
              <w:bottom w:val="nil"/>
              <w:right w:val="nil"/>
            </w:tcBorders>
            <w:shd w:val="clear" w:color="auto" w:fill="auto"/>
            <w:vAlign w:val="center"/>
            <w:hideMark/>
          </w:tcPr>
          <w:p w14:paraId="1578270E" w14:textId="77777777" w:rsidR="006C346E" w:rsidRDefault="006C346E" w:rsidP="00E51A65">
            <w:pPr>
              <w:spacing w:line="480" w:lineRule="auto"/>
              <w:jc w:val="center"/>
              <w:rPr>
                <w:color w:val="000000"/>
              </w:rPr>
            </w:pPr>
            <w:r>
              <w:rPr>
                <w:color w:val="000000"/>
              </w:rPr>
              <w:t>9.9 (12.1)</w:t>
            </w:r>
          </w:p>
        </w:tc>
        <w:tc>
          <w:tcPr>
            <w:tcW w:w="1428" w:type="dxa"/>
            <w:tcBorders>
              <w:top w:val="nil"/>
              <w:left w:val="nil"/>
              <w:bottom w:val="nil"/>
              <w:right w:val="nil"/>
            </w:tcBorders>
            <w:shd w:val="clear" w:color="auto" w:fill="auto"/>
            <w:vAlign w:val="center"/>
            <w:hideMark/>
          </w:tcPr>
          <w:p w14:paraId="3D7F0DE4" w14:textId="77777777" w:rsidR="006C346E" w:rsidRDefault="006C346E" w:rsidP="00E51A65">
            <w:pPr>
              <w:spacing w:line="480" w:lineRule="auto"/>
              <w:jc w:val="center"/>
              <w:rPr>
                <w:color w:val="000000"/>
              </w:rPr>
            </w:pPr>
            <w:r>
              <w:rPr>
                <w:color w:val="000000"/>
              </w:rPr>
              <w:t>10.2 (12.1)</w:t>
            </w:r>
          </w:p>
        </w:tc>
        <w:tc>
          <w:tcPr>
            <w:tcW w:w="1549" w:type="dxa"/>
            <w:tcBorders>
              <w:top w:val="nil"/>
              <w:left w:val="nil"/>
              <w:bottom w:val="nil"/>
              <w:right w:val="nil"/>
            </w:tcBorders>
            <w:shd w:val="clear" w:color="auto" w:fill="auto"/>
            <w:vAlign w:val="center"/>
            <w:hideMark/>
          </w:tcPr>
          <w:p w14:paraId="4E44BA72" w14:textId="77777777" w:rsidR="006C346E" w:rsidRDefault="006C346E" w:rsidP="00E51A65">
            <w:pPr>
              <w:spacing w:line="480" w:lineRule="auto"/>
              <w:jc w:val="center"/>
              <w:rPr>
                <w:color w:val="000000"/>
              </w:rPr>
            </w:pPr>
            <w:r>
              <w:rPr>
                <w:color w:val="000000"/>
              </w:rPr>
              <w:t>10.3 (11.8)</w:t>
            </w:r>
          </w:p>
        </w:tc>
        <w:tc>
          <w:tcPr>
            <w:tcW w:w="1417" w:type="dxa"/>
            <w:tcBorders>
              <w:top w:val="nil"/>
              <w:left w:val="nil"/>
              <w:bottom w:val="nil"/>
              <w:right w:val="nil"/>
            </w:tcBorders>
            <w:shd w:val="clear" w:color="auto" w:fill="auto"/>
            <w:vAlign w:val="center"/>
            <w:hideMark/>
          </w:tcPr>
          <w:p w14:paraId="3DB1805B" w14:textId="77777777" w:rsidR="006C346E" w:rsidRDefault="006C346E" w:rsidP="00E51A65">
            <w:pPr>
              <w:spacing w:line="480" w:lineRule="auto"/>
              <w:jc w:val="center"/>
              <w:rPr>
                <w:color w:val="000000"/>
              </w:rPr>
            </w:pPr>
            <w:r>
              <w:rPr>
                <w:color w:val="000000"/>
              </w:rPr>
              <w:t>8.4 (12.5)</w:t>
            </w:r>
          </w:p>
        </w:tc>
        <w:tc>
          <w:tcPr>
            <w:tcW w:w="696" w:type="dxa"/>
            <w:tcBorders>
              <w:top w:val="nil"/>
              <w:left w:val="nil"/>
              <w:bottom w:val="nil"/>
              <w:right w:val="nil"/>
            </w:tcBorders>
            <w:shd w:val="clear" w:color="auto" w:fill="auto"/>
            <w:vAlign w:val="center"/>
            <w:hideMark/>
          </w:tcPr>
          <w:p w14:paraId="5D95EDD6" w14:textId="77777777" w:rsidR="006C346E" w:rsidRDefault="006C346E" w:rsidP="00E51A65">
            <w:pPr>
              <w:spacing w:line="480" w:lineRule="auto"/>
              <w:jc w:val="center"/>
              <w:rPr>
                <w:color w:val="000000"/>
              </w:rPr>
            </w:pPr>
            <w:r>
              <w:rPr>
                <w:color w:val="000000"/>
              </w:rPr>
              <w:t>.09</w:t>
            </w:r>
          </w:p>
        </w:tc>
      </w:tr>
      <w:tr w:rsidR="006C346E" w14:paraId="025F141E" w14:textId="77777777" w:rsidTr="00E51A65">
        <w:trPr>
          <w:trHeight w:val="375"/>
        </w:trPr>
        <w:tc>
          <w:tcPr>
            <w:tcW w:w="3119" w:type="dxa"/>
            <w:tcBorders>
              <w:top w:val="nil"/>
              <w:left w:val="nil"/>
              <w:bottom w:val="nil"/>
              <w:right w:val="nil"/>
            </w:tcBorders>
            <w:shd w:val="clear" w:color="auto" w:fill="auto"/>
            <w:noWrap/>
            <w:vAlign w:val="bottom"/>
            <w:hideMark/>
          </w:tcPr>
          <w:p w14:paraId="249EC770" w14:textId="77777777" w:rsidR="006C346E" w:rsidRDefault="006C346E" w:rsidP="00E51A65">
            <w:pPr>
              <w:spacing w:line="480" w:lineRule="auto"/>
              <w:rPr>
                <w:rFonts w:ascii="Times" w:hAnsi="Times" w:cs="Times"/>
                <w:color w:val="000000"/>
              </w:rPr>
            </w:pPr>
            <w:r>
              <w:rPr>
                <w:rFonts w:ascii="Times" w:hAnsi="Times" w:cs="Times"/>
                <w:color w:val="000000"/>
              </w:rPr>
              <w:lastRenderedPageBreak/>
              <w:t xml:space="preserve">Binge </w:t>
            </w:r>
            <w:proofErr w:type="spellStart"/>
            <w:r>
              <w:rPr>
                <w:rFonts w:ascii="Times" w:hAnsi="Times" w:cs="Times"/>
                <w:color w:val="000000"/>
              </w:rPr>
              <w:t>drinking</w:t>
            </w:r>
            <w:proofErr w:type="spellEnd"/>
            <w:r>
              <w:rPr>
                <w:rFonts w:ascii="Times" w:hAnsi="Times" w:cs="Times"/>
                <w:color w:val="000000"/>
              </w:rPr>
              <w:t xml:space="preserve"> (%) </w:t>
            </w:r>
            <w:proofErr w:type="spellStart"/>
            <w:r w:rsidRPr="002D1FD0">
              <w:rPr>
                <w:color w:val="000000"/>
                <w:vertAlign w:val="superscript"/>
              </w:rPr>
              <w:t>ac</w:t>
            </w:r>
            <w:proofErr w:type="spellEnd"/>
          </w:p>
        </w:tc>
        <w:tc>
          <w:tcPr>
            <w:tcW w:w="1580" w:type="dxa"/>
            <w:tcBorders>
              <w:top w:val="nil"/>
              <w:left w:val="nil"/>
              <w:bottom w:val="nil"/>
              <w:right w:val="nil"/>
            </w:tcBorders>
            <w:shd w:val="clear" w:color="auto" w:fill="auto"/>
            <w:noWrap/>
            <w:vAlign w:val="bottom"/>
            <w:hideMark/>
          </w:tcPr>
          <w:p w14:paraId="7A55E355" w14:textId="77777777" w:rsidR="006C346E" w:rsidRDefault="006C346E" w:rsidP="00E51A65">
            <w:pPr>
              <w:spacing w:line="480" w:lineRule="auto"/>
              <w:rPr>
                <w:rFonts w:ascii="Times" w:hAnsi="Times" w:cs="Times"/>
                <w:color w:val="000000"/>
              </w:rPr>
            </w:pPr>
          </w:p>
        </w:tc>
        <w:tc>
          <w:tcPr>
            <w:tcW w:w="1428" w:type="dxa"/>
            <w:tcBorders>
              <w:top w:val="nil"/>
              <w:left w:val="nil"/>
              <w:bottom w:val="nil"/>
              <w:right w:val="nil"/>
            </w:tcBorders>
            <w:shd w:val="clear" w:color="auto" w:fill="auto"/>
            <w:vAlign w:val="center"/>
            <w:hideMark/>
          </w:tcPr>
          <w:p w14:paraId="4BFF374E" w14:textId="77777777" w:rsidR="006C346E" w:rsidRDefault="006C346E" w:rsidP="00E51A65">
            <w:pPr>
              <w:spacing w:line="480" w:lineRule="auto"/>
              <w:rPr>
                <w:sz w:val="20"/>
                <w:szCs w:val="20"/>
              </w:rPr>
            </w:pPr>
          </w:p>
        </w:tc>
        <w:tc>
          <w:tcPr>
            <w:tcW w:w="1549" w:type="dxa"/>
            <w:tcBorders>
              <w:top w:val="nil"/>
              <w:left w:val="nil"/>
              <w:bottom w:val="nil"/>
              <w:right w:val="nil"/>
            </w:tcBorders>
            <w:shd w:val="clear" w:color="auto" w:fill="auto"/>
            <w:vAlign w:val="center"/>
            <w:hideMark/>
          </w:tcPr>
          <w:p w14:paraId="18F975E4" w14:textId="77777777" w:rsidR="006C346E" w:rsidRDefault="006C346E" w:rsidP="00E51A65">
            <w:pPr>
              <w:spacing w:line="480" w:lineRule="auto"/>
              <w:jc w:val="center"/>
              <w:rPr>
                <w:sz w:val="20"/>
                <w:szCs w:val="20"/>
              </w:rPr>
            </w:pPr>
          </w:p>
        </w:tc>
        <w:tc>
          <w:tcPr>
            <w:tcW w:w="1417" w:type="dxa"/>
            <w:tcBorders>
              <w:top w:val="nil"/>
              <w:left w:val="nil"/>
              <w:bottom w:val="nil"/>
              <w:right w:val="nil"/>
            </w:tcBorders>
            <w:shd w:val="clear" w:color="auto" w:fill="auto"/>
            <w:vAlign w:val="center"/>
            <w:hideMark/>
          </w:tcPr>
          <w:p w14:paraId="352C7B67" w14:textId="77777777" w:rsidR="006C346E" w:rsidRDefault="006C346E" w:rsidP="00E51A65">
            <w:pPr>
              <w:spacing w:line="480" w:lineRule="auto"/>
              <w:jc w:val="center"/>
              <w:rPr>
                <w:sz w:val="20"/>
                <w:szCs w:val="20"/>
              </w:rPr>
            </w:pPr>
          </w:p>
        </w:tc>
        <w:tc>
          <w:tcPr>
            <w:tcW w:w="696" w:type="dxa"/>
            <w:tcBorders>
              <w:top w:val="nil"/>
              <w:left w:val="nil"/>
              <w:bottom w:val="nil"/>
              <w:right w:val="nil"/>
            </w:tcBorders>
            <w:shd w:val="clear" w:color="auto" w:fill="auto"/>
            <w:vAlign w:val="center"/>
            <w:hideMark/>
          </w:tcPr>
          <w:p w14:paraId="0686F484" w14:textId="77777777" w:rsidR="006C346E" w:rsidRDefault="006C346E" w:rsidP="00E51A65">
            <w:pPr>
              <w:spacing w:line="480" w:lineRule="auto"/>
              <w:jc w:val="center"/>
              <w:rPr>
                <w:sz w:val="20"/>
                <w:szCs w:val="20"/>
              </w:rPr>
            </w:pPr>
          </w:p>
        </w:tc>
      </w:tr>
      <w:tr w:rsidR="006C346E" w14:paraId="6813FA52" w14:textId="77777777" w:rsidTr="00E51A65">
        <w:trPr>
          <w:trHeight w:val="315"/>
        </w:trPr>
        <w:tc>
          <w:tcPr>
            <w:tcW w:w="3119" w:type="dxa"/>
            <w:tcBorders>
              <w:top w:val="nil"/>
              <w:left w:val="nil"/>
              <w:bottom w:val="nil"/>
              <w:right w:val="nil"/>
            </w:tcBorders>
            <w:shd w:val="clear" w:color="auto" w:fill="auto"/>
            <w:noWrap/>
            <w:vAlign w:val="bottom"/>
            <w:hideMark/>
          </w:tcPr>
          <w:p w14:paraId="1493842A"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No</w:t>
            </w:r>
            <w:proofErr w:type="spellEnd"/>
          </w:p>
        </w:tc>
        <w:tc>
          <w:tcPr>
            <w:tcW w:w="1580" w:type="dxa"/>
            <w:tcBorders>
              <w:top w:val="nil"/>
              <w:left w:val="nil"/>
              <w:bottom w:val="nil"/>
              <w:right w:val="nil"/>
            </w:tcBorders>
            <w:shd w:val="clear" w:color="auto" w:fill="auto"/>
            <w:noWrap/>
            <w:vAlign w:val="bottom"/>
            <w:hideMark/>
          </w:tcPr>
          <w:p w14:paraId="7A41FAC0" w14:textId="77777777" w:rsidR="006C346E" w:rsidRDefault="006C346E" w:rsidP="00E51A65">
            <w:pPr>
              <w:spacing w:line="480" w:lineRule="auto"/>
              <w:jc w:val="center"/>
              <w:rPr>
                <w:rFonts w:ascii="Times" w:hAnsi="Times" w:cs="Times"/>
                <w:color w:val="000000"/>
              </w:rPr>
            </w:pPr>
            <w:r>
              <w:rPr>
                <w:rFonts w:ascii="Times" w:hAnsi="Times" w:cs="Times"/>
                <w:color w:val="000000"/>
              </w:rPr>
              <w:t>465 (32.8%)</w:t>
            </w:r>
          </w:p>
        </w:tc>
        <w:tc>
          <w:tcPr>
            <w:tcW w:w="1428" w:type="dxa"/>
            <w:tcBorders>
              <w:top w:val="nil"/>
              <w:left w:val="nil"/>
              <w:bottom w:val="nil"/>
              <w:right w:val="nil"/>
            </w:tcBorders>
            <w:shd w:val="clear" w:color="auto" w:fill="auto"/>
            <w:vAlign w:val="center"/>
            <w:hideMark/>
          </w:tcPr>
          <w:p w14:paraId="503D9122" w14:textId="77777777" w:rsidR="006C346E" w:rsidRDefault="006C346E" w:rsidP="00E51A65">
            <w:pPr>
              <w:spacing w:line="480" w:lineRule="auto"/>
              <w:jc w:val="center"/>
              <w:rPr>
                <w:color w:val="000000"/>
              </w:rPr>
            </w:pPr>
            <w:r>
              <w:rPr>
                <w:color w:val="000000"/>
              </w:rPr>
              <w:t>191 (29.6%)</w:t>
            </w:r>
          </w:p>
        </w:tc>
        <w:tc>
          <w:tcPr>
            <w:tcW w:w="1549" w:type="dxa"/>
            <w:tcBorders>
              <w:top w:val="nil"/>
              <w:left w:val="nil"/>
              <w:bottom w:val="nil"/>
              <w:right w:val="nil"/>
            </w:tcBorders>
            <w:shd w:val="clear" w:color="auto" w:fill="auto"/>
            <w:vAlign w:val="center"/>
            <w:hideMark/>
          </w:tcPr>
          <w:p w14:paraId="64F5A914" w14:textId="77777777" w:rsidR="006C346E" w:rsidRDefault="006C346E" w:rsidP="00E51A65">
            <w:pPr>
              <w:spacing w:line="480" w:lineRule="auto"/>
              <w:jc w:val="center"/>
              <w:rPr>
                <w:color w:val="000000"/>
              </w:rPr>
            </w:pPr>
            <w:r>
              <w:rPr>
                <w:color w:val="000000"/>
              </w:rPr>
              <w:t>158 (31.6%)</w:t>
            </w:r>
          </w:p>
        </w:tc>
        <w:tc>
          <w:tcPr>
            <w:tcW w:w="1417" w:type="dxa"/>
            <w:tcBorders>
              <w:top w:val="nil"/>
              <w:left w:val="nil"/>
              <w:bottom w:val="nil"/>
              <w:right w:val="nil"/>
            </w:tcBorders>
            <w:shd w:val="clear" w:color="auto" w:fill="auto"/>
            <w:vAlign w:val="center"/>
            <w:hideMark/>
          </w:tcPr>
          <w:p w14:paraId="3F645B67" w14:textId="77777777" w:rsidR="006C346E" w:rsidRDefault="006C346E" w:rsidP="00E51A65">
            <w:pPr>
              <w:spacing w:line="480" w:lineRule="auto"/>
              <w:jc w:val="center"/>
              <w:rPr>
                <w:color w:val="000000"/>
              </w:rPr>
            </w:pPr>
            <w:r>
              <w:rPr>
                <w:color w:val="000000"/>
              </w:rPr>
              <w:t>116 (42.8%)</w:t>
            </w:r>
          </w:p>
        </w:tc>
        <w:tc>
          <w:tcPr>
            <w:tcW w:w="696" w:type="dxa"/>
            <w:tcBorders>
              <w:top w:val="nil"/>
              <w:left w:val="nil"/>
              <w:bottom w:val="nil"/>
              <w:right w:val="nil"/>
            </w:tcBorders>
            <w:shd w:val="clear" w:color="auto" w:fill="auto"/>
            <w:vAlign w:val="center"/>
            <w:hideMark/>
          </w:tcPr>
          <w:p w14:paraId="081350EB" w14:textId="77777777" w:rsidR="006C346E" w:rsidRDefault="006C346E" w:rsidP="00E51A65">
            <w:pPr>
              <w:spacing w:line="480" w:lineRule="auto"/>
              <w:jc w:val="center"/>
              <w:rPr>
                <w:color w:val="000000"/>
              </w:rPr>
            </w:pPr>
            <w:r>
              <w:rPr>
                <w:color w:val="000000"/>
              </w:rPr>
              <w:t>&lt;.001</w:t>
            </w:r>
          </w:p>
        </w:tc>
      </w:tr>
      <w:tr w:rsidR="006C346E" w14:paraId="2E0EFDC0" w14:textId="77777777" w:rsidTr="00E51A65">
        <w:trPr>
          <w:trHeight w:val="315"/>
        </w:trPr>
        <w:tc>
          <w:tcPr>
            <w:tcW w:w="3119" w:type="dxa"/>
            <w:tcBorders>
              <w:top w:val="nil"/>
              <w:left w:val="nil"/>
              <w:bottom w:val="nil"/>
              <w:right w:val="nil"/>
            </w:tcBorders>
            <w:shd w:val="clear" w:color="auto" w:fill="auto"/>
            <w:noWrap/>
            <w:vAlign w:val="bottom"/>
            <w:hideMark/>
          </w:tcPr>
          <w:p w14:paraId="61770968" w14:textId="77777777" w:rsidR="006C346E" w:rsidRDefault="006C346E" w:rsidP="00E51A65">
            <w:pPr>
              <w:spacing w:line="480" w:lineRule="auto"/>
              <w:ind w:firstLineChars="100" w:firstLine="240"/>
              <w:rPr>
                <w:rFonts w:ascii="Times" w:hAnsi="Times" w:cs="Times"/>
                <w:color w:val="000000"/>
              </w:rPr>
            </w:pPr>
            <w:r>
              <w:rPr>
                <w:rFonts w:ascii="Times" w:hAnsi="Times" w:cs="Times"/>
                <w:color w:val="000000"/>
              </w:rPr>
              <w:t>Yes</w:t>
            </w:r>
          </w:p>
        </w:tc>
        <w:tc>
          <w:tcPr>
            <w:tcW w:w="1580" w:type="dxa"/>
            <w:tcBorders>
              <w:top w:val="nil"/>
              <w:left w:val="nil"/>
              <w:bottom w:val="nil"/>
              <w:right w:val="nil"/>
            </w:tcBorders>
            <w:shd w:val="clear" w:color="auto" w:fill="auto"/>
            <w:noWrap/>
            <w:vAlign w:val="bottom"/>
            <w:hideMark/>
          </w:tcPr>
          <w:p w14:paraId="2EB0D105" w14:textId="77777777" w:rsidR="006C346E" w:rsidRDefault="006C346E" w:rsidP="00E51A65">
            <w:pPr>
              <w:spacing w:line="480" w:lineRule="auto"/>
              <w:jc w:val="center"/>
              <w:rPr>
                <w:rFonts w:ascii="Times" w:hAnsi="Times" w:cs="Times"/>
                <w:color w:val="000000"/>
              </w:rPr>
            </w:pPr>
            <w:r>
              <w:rPr>
                <w:rFonts w:ascii="Times" w:hAnsi="Times" w:cs="Times"/>
                <w:color w:val="000000"/>
              </w:rPr>
              <w:t>952 (67.2%)</w:t>
            </w:r>
          </w:p>
        </w:tc>
        <w:tc>
          <w:tcPr>
            <w:tcW w:w="1428" w:type="dxa"/>
            <w:tcBorders>
              <w:top w:val="nil"/>
              <w:left w:val="nil"/>
              <w:bottom w:val="nil"/>
              <w:right w:val="nil"/>
            </w:tcBorders>
            <w:shd w:val="clear" w:color="auto" w:fill="auto"/>
            <w:vAlign w:val="center"/>
            <w:hideMark/>
          </w:tcPr>
          <w:p w14:paraId="504F786B" w14:textId="77777777" w:rsidR="006C346E" w:rsidRDefault="006C346E" w:rsidP="00E51A65">
            <w:pPr>
              <w:spacing w:line="480" w:lineRule="auto"/>
              <w:jc w:val="center"/>
              <w:rPr>
                <w:color w:val="000000"/>
              </w:rPr>
            </w:pPr>
            <w:r>
              <w:rPr>
                <w:color w:val="000000"/>
              </w:rPr>
              <w:t>455 (70.4%)</w:t>
            </w:r>
          </w:p>
        </w:tc>
        <w:tc>
          <w:tcPr>
            <w:tcW w:w="1549" w:type="dxa"/>
            <w:tcBorders>
              <w:top w:val="nil"/>
              <w:left w:val="nil"/>
              <w:bottom w:val="nil"/>
              <w:right w:val="nil"/>
            </w:tcBorders>
            <w:shd w:val="clear" w:color="auto" w:fill="auto"/>
            <w:vAlign w:val="center"/>
            <w:hideMark/>
          </w:tcPr>
          <w:p w14:paraId="13CB8547" w14:textId="77777777" w:rsidR="006C346E" w:rsidRDefault="006C346E" w:rsidP="00E51A65">
            <w:pPr>
              <w:spacing w:line="480" w:lineRule="auto"/>
              <w:jc w:val="center"/>
              <w:rPr>
                <w:color w:val="000000"/>
              </w:rPr>
            </w:pPr>
            <w:r>
              <w:rPr>
                <w:color w:val="000000"/>
              </w:rPr>
              <w:t>342 (68.4%)</w:t>
            </w:r>
          </w:p>
        </w:tc>
        <w:tc>
          <w:tcPr>
            <w:tcW w:w="1417" w:type="dxa"/>
            <w:tcBorders>
              <w:top w:val="nil"/>
              <w:left w:val="nil"/>
              <w:bottom w:val="nil"/>
              <w:right w:val="nil"/>
            </w:tcBorders>
            <w:shd w:val="clear" w:color="auto" w:fill="auto"/>
            <w:vAlign w:val="center"/>
            <w:hideMark/>
          </w:tcPr>
          <w:p w14:paraId="01C4B78F" w14:textId="77777777" w:rsidR="006C346E" w:rsidRDefault="006C346E" w:rsidP="00E51A65">
            <w:pPr>
              <w:spacing w:line="480" w:lineRule="auto"/>
              <w:jc w:val="center"/>
              <w:rPr>
                <w:color w:val="000000"/>
              </w:rPr>
            </w:pPr>
            <w:r>
              <w:rPr>
                <w:color w:val="000000"/>
              </w:rPr>
              <w:t>155 (57.2%)</w:t>
            </w:r>
          </w:p>
        </w:tc>
        <w:tc>
          <w:tcPr>
            <w:tcW w:w="696" w:type="dxa"/>
            <w:tcBorders>
              <w:top w:val="nil"/>
              <w:left w:val="nil"/>
              <w:bottom w:val="nil"/>
              <w:right w:val="nil"/>
            </w:tcBorders>
            <w:shd w:val="clear" w:color="auto" w:fill="auto"/>
            <w:vAlign w:val="center"/>
            <w:hideMark/>
          </w:tcPr>
          <w:p w14:paraId="72C2965A" w14:textId="77777777" w:rsidR="006C346E" w:rsidRDefault="006C346E" w:rsidP="00E51A65">
            <w:pPr>
              <w:spacing w:line="480" w:lineRule="auto"/>
              <w:jc w:val="center"/>
              <w:rPr>
                <w:color w:val="000000"/>
              </w:rPr>
            </w:pPr>
          </w:p>
        </w:tc>
      </w:tr>
      <w:tr w:rsidR="006C346E" w14:paraId="47CDD6C5" w14:textId="77777777" w:rsidTr="00E51A65">
        <w:trPr>
          <w:trHeight w:val="375"/>
        </w:trPr>
        <w:tc>
          <w:tcPr>
            <w:tcW w:w="3119" w:type="dxa"/>
            <w:tcBorders>
              <w:top w:val="nil"/>
              <w:left w:val="nil"/>
              <w:bottom w:val="nil"/>
              <w:right w:val="nil"/>
            </w:tcBorders>
            <w:shd w:val="clear" w:color="auto" w:fill="auto"/>
            <w:noWrap/>
            <w:vAlign w:val="bottom"/>
            <w:hideMark/>
          </w:tcPr>
          <w:p w14:paraId="10296D52" w14:textId="77777777" w:rsidR="006C346E" w:rsidRDefault="006C346E" w:rsidP="00E51A65">
            <w:pPr>
              <w:spacing w:line="480" w:lineRule="auto"/>
              <w:rPr>
                <w:rFonts w:ascii="Times" w:hAnsi="Times" w:cs="Times"/>
                <w:color w:val="000000"/>
              </w:rPr>
            </w:pPr>
            <w:proofErr w:type="spellStart"/>
            <w:r>
              <w:rPr>
                <w:rFonts w:ascii="Times" w:hAnsi="Times" w:cs="Times"/>
                <w:color w:val="000000"/>
              </w:rPr>
              <w:t>Tabacco</w:t>
            </w:r>
            <w:proofErr w:type="spellEnd"/>
            <w:r>
              <w:rPr>
                <w:rFonts w:ascii="Times" w:hAnsi="Times" w:cs="Times"/>
                <w:color w:val="000000"/>
              </w:rPr>
              <w:t xml:space="preserve"> </w:t>
            </w:r>
            <w:proofErr w:type="spellStart"/>
            <w:r>
              <w:rPr>
                <w:rFonts w:ascii="Times" w:hAnsi="Times" w:cs="Times"/>
                <w:color w:val="000000"/>
              </w:rPr>
              <w:t>smoking</w:t>
            </w:r>
            <w:proofErr w:type="spellEnd"/>
            <w:r>
              <w:rPr>
                <w:rFonts w:ascii="Times" w:hAnsi="Times" w:cs="Times"/>
                <w:color w:val="000000"/>
              </w:rPr>
              <w:t xml:space="preserve"> </w:t>
            </w:r>
            <w:proofErr w:type="spellStart"/>
            <w:r>
              <w:rPr>
                <w:rFonts w:ascii="Times" w:hAnsi="Times" w:cs="Times"/>
                <w:color w:val="000000"/>
              </w:rPr>
              <w:t>status</w:t>
            </w:r>
            <w:proofErr w:type="spellEnd"/>
            <w:r>
              <w:rPr>
                <w:rFonts w:ascii="Times" w:hAnsi="Times" w:cs="Times"/>
                <w:color w:val="000000"/>
              </w:rPr>
              <w:t xml:space="preserve"> (%) </w:t>
            </w:r>
            <w:r>
              <w:rPr>
                <w:rFonts w:ascii="Times" w:hAnsi="Times" w:cs="Times"/>
                <w:color w:val="000000"/>
                <w:vertAlign w:val="superscript"/>
              </w:rPr>
              <w:t>b</w:t>
            </w:r>
          </w:p>
        </w:tc>
        <w:tc>
          <w:tcPr>
            <w:tcW w:w="1580" w:type="dxa"/>
            <w:tcBorders>
              <w:top w:val="nil"/>
              <w:left w:val="nil"/>
              <w:bottom w:val="nil"/>
              <w:right w:val="nil"/>
            </w:tcBorders>
            <w:shd w:val="clear" w:color="auto" w:fill="auto"/>
            <w:noWrap/>
            <w:vAlign w:val="bottom"/>
            <w:hideMark/>
          </w:tcPr>
          <w:p w14:paraId="2053899B" w14:textId="77777777" w:rsidR="006C346E" w:rsidRDefault="006C346E" w:rsidP="00E51A65">
            <w:pPr>
              <w:spacing w:line="480" w:lineRule="auto"/>
              <w:rPr>
                <w:rFonts w:ascii="Times" w:hAnsi="Times" w:cs="Times"/>
                <w:color w:val="000000"/>
              </w:rPr>
            </w:pPr>
          </w:p>
        </w:tc>
        <w:tc>
          <w:tcPr>
            <w:tcW w:w="1428" w:type="dxa"/>
            <w:tcBorders>
              <w:top w:val="nil"/>
              <w:left w:val="nil"/>
              <w:bottom w:val="nil"/>
              <w:right w:val="nil"/>
            </w:tcBorders>
            <w:shd w:val="clear" w:color="auto" w:fill="auto"/>
            <w:vAlign w:val="center"/>
            <w:hideMark/>
          </w:tcPr>
          <w:p w14:paraId="3FD2B63B" w14:textId="77777777" w:rsidR="006C346E" w:rsidRDefault="006C346E" w:rsidP="00E51A65">
            <w:pPr>
              <w:spacing w:line="480" w:lineRule="auto"/>
              <w:rPr>
                <w:sz w:val="20"/>
                <w:szCs w:val="20"/>
              </w:rPr>
            </w:pPr>
          </w:p>
        </w:tc>
        <w:tc>
          <w:tcPr>
            <w:tcW w:w="1549" w:type="dxa"/>
            <w:tcBorders>
              <w:top w:val="nil"/>
              <w:left w:val="nil"/>
              <w:bottom w:val="nil"/>
              <w:right w:val="nil"/>
            </w:tcBorders>
            <w:shd w:val="clear" w:color="auto" w:fill="auto"/>
            <w:vAlign w:val="center"/>
            <w:hideMark/>
          </w:tcPr>
          <w:p w14:paraId="11A5D4BF" w14:textId="77777777" w:rsidR="006C346E" w:rsidRDefault="006C346E" w:rsidP="00E51A65">
            <w:pPr>
              <w:spacing w:line="480" w:lineRule="auto"/>
              <w:jc w:val="center"/>
              <w:rPr>
                <w:sz w:val="20"/>
                <w:szCs w:val="20"/>
              </w:rPr>
            </w:pPr>
          </w:p>
        </w:tc>
        <w:tc>
          <w:tcPr>
            <w:tcW w:w="1417" w:type="dxa"/>
            <w:tcBorders>
              <w:top w:val="nil"/>
              <w:left w:val="nil"/>
              <w:bottom w:val="nil"/>
              <w:right w:val="nil"/>
            </w:tcBorders>
            <w:shd w:val="clear" w:color="auto" w:fill="auto"/>
            <w:vAlign w:val="center"/>
            <w:hideMark/>
          </w:tcPr>
          <w:p w14:paraId="21DF58AA" w14:textId="77777777" w:rsidR="006C346E" w:rsidRDefault="006C346E" w:rsidP="00E51A65">
            <w:pPr>
              <w:spacing w:line="480" w:lineRule="auto"/>
              <w:jc w:val="center"/>
              <w:rPr>
                <w:sz w:val="20"/>
                <w:szCs w:val="20"/>
              </w:rPr>
            </w:pPr>
          </w:p>
        </w:tc>
        <w:tc>
          <w:tcPr>
            <w:tcW w:w="696" w:type="dxa"/>
            <w:tcBorders>
              <w:top w:val="nil"/>
              <w:left w:val="nil"/>
              <w:bottom w:val="nil"/>
              <w:right w:val="nil"/>
            </w:tcBorders>
            <w:shd w:val="clear" w:color="auto" w:fill="auto"/>
            <w:vAlign w:val="center"/>
            <w:hideMark/>
          </w:tcPr>
          <w:p w14:paraId="10592ADB" w14:textId="77777777" w:rsidR="006C346E" w:rsidRDefault="006C346E" w:rsidP="00E51A65">
            <w:pPr>
              <w:spacing w:line="480" w:lineRule="auto"/>
              <w:jc w:val="center"/>
              <w:rPr>
                <w:sz w:val="20"/>
                <w:szCs w:val="20"/>
              </w:rPr>
            </w:pPr>
          </w:p>
        </w:tc>
      </w:tr>
      <w:tr w:rsidR="006C346E" w14:paraId="469921FF" w14:textId="77777777" w:rsidTr="00E51A65">
        <w:trPr>
          <w:trHeight w:val="315"/>
        </w:trPr>
        <w:tc>
          <w:tcPr>
            <w:tcW w:w="3119" w:type="dxa"/>
            <w:tcBorders>
              <w:top w:val="nil"/>
              <w:left w:val="nil"/>
              <w:bottom w:val="nil"/>
              <w:right w:val="nil"/>
            </w:tcBorders>
            <w:shd w:val="clear" w:color="auto" w:fill="auto"/>
            <w:noWrap/>
            <w:vAlign w:val="bottom"/>
            <w:hideMark/>
          </w:tcPr>
          <w:p w14:paraId="3EB51AC9" w14:textId="77777777" w:rsidR="006C346E" w:rsidRDefault="006C346E" w:rsidP="00E51A65">
            <w:pPr>
              <w:spacing w:line="480" w:lineRule="auto"/>
              <w:ind w:firstLineChars="100" w:firstLine="240"/>
              <w:rPr>
                <w:rFonts w:ascii="Times" w:hAnsi="Times" w:cs="Times"/>
                <w:color w:val="000000"/>
              </w:rPr>
            </w:pPr>
            <w:r>
              <w:rPr>
                <w:rFonts w:ascii="Times" w:hAnsi="Times" w:cs="Times"/>
                <w:color w:val="000000"/>
              </w:rPr>
              <w:t xml:space="preserve">Daily </w:t>
            </w:r>
            <w:proofErr w:type="spellStart"/>
            <w:r>
              <w:rPr>
                <w:rFonts w:ascii="Times" w:hAnsi="Times" w:cs="Times"/>
                <w:color w:val="000000"/>
              </w:rPr>
              <w:t>smoker</w:t>
            </w:r>
            <w:proofErr w:type="spellEnd"/>
          </w:p>
        </w:tc>
        <w:tc>
          <w:tcPr>
            <w:tcW w:w="1580" w:type="dxa"/>
            <w:tcBorders>
              <w:top w:val="nil"/>
              <w:left w:val="nil"/>
              <w:bottom w:val="nil"/>
              <w:right w:val="nil"/>
            </w:tcBorders>
            <w:shd w:val="clear" w:color="auto" w:fill="auto"/>
            <w:noWrap/>
            <w:vAlign w:val="bottom"/>
            <w:hideMark/>
          </w:tcPr>
          <w:p w14:paraId="44D154FB" w14:textId="77777777" w:rsidR="006C346E" w:rsidRDefault="006C346E" w:rsidP="00E51A65">
            <w:pPr>
              <w:spacing w:line="480" w:lineRule="auto"/>
              <w:jc w:val="center"/>
              <w:rPr>
                <w:rFonts w:ascii="Times" w:hAnsi="Times" w:cs="Times"/>
                <w:color w:val="000000"/>
              </w:rPr>
            </w:pPr>
            <w:r>
              <w:rPr>
                <w:rFonts w:ascii="Times" w:hAnsi="Times" w:cs="Times"/>
                <w:color w:val="000000"/>
              </w:rPr>
              <w:t>1075 (75.8%)</w:t>
            </w:r>
          </w:p>
        </w:tc>
        <w:tc>
          <w:tcPr>
            <w:tcW w:w="1428" w:type="dxa"/>
            <w:tcBorders>
              <w:top w:val="nil"/>
              <w:left w:val="nil"/>
              <w:bottom w:val="nil"/>
              <w:right w:val="nil"/>
            </w:tcBorders>
            <w:shd w:val="clear" w:color="auto" w:fill="auto"/>
            <w:vAlign w:val="center"/>
            <w:hideMark/>
          </w:tcPr>
          <w:p w14:paraId="2DB5F15C" w14:textId="77777777" w:rsidR="006C346E" w:rsidRDefault="006C346E" w:rsidP="00E51A65">
            <w:pPr>
              <w:spacing w:line="480" w:lineRule="auto"/>
              <w:jc w:val="center"/>
              <w:rPr>
                <w:color w:val="000000"/>
              </w:rPr>
            </w:pPr>
            <w:r>
              <w:rPr>
                <w:color w:val="000000"/>
              </w:rPr>
              <w:t>476 (73.7%)</w:t>
            </w:r>
          </w:p>
        </w:tc>
        <w:tc>
          <w:tcPr>
            <w:tcW w:w="1549" w:type="dxa"/>
            <w:tcBorders>
              <w:top w:val="nil"/>
              <w:left w:val="nil"/>
              <w:bottom w:val="nil"/>
              <w:right w:val="nil"/>
            </w:tcBorders>
            <w:shd w:val="clear" w:color="auto" w:fill="auto"/>
            <w:vAlign w:val="center"/>
            <w:hideMark/>
          </w:tcPr>
          <w:p w14:paraId="37F91789" w14:textId="77777777" w:rsidR="006C346E" w:rsidRDefault="006C346E" w:rsidP="00E51A65">
            <w:pPr>
              <w:spacing w:line="480" w:lineRule="auto"/>
              <w:jc w:val="center"/>
              <w:rPr>
                <w:color w:val="000000"/>
              </w:rPr>
            </w:pPr>
            <w:r>
              <w:rPr>
                <w:color w:val="000000"/>
              </w:rPr>
              <w:t>390 (77.8%)</w:t>
            </w:r>
          </w:p>
        </w:tc>
        <w:tc>
          <w:tcPr>
            <w:tcW w:w="1417" w:type="dxa"/>
            <w:tcBorders>
              <w:top w:val="nil"/>
              <w:left w:val="nil"/>
              <w:bottom w:val="nil"/>
              <w:right w:val="nil"/>
            </w:tcBorders>
            <w:shd w:val="clear" w:color="auto" w:fill="auto"/>
            <w:vAlign w:val="center"/>
            <w:hideMark/>
          </w:tcPr>
          <w:p w14:paraId="6A08B6B0" w14:textId="77777777" w:rsidR="006C346E" w:rsidRDefault="006C346E" w:rsidP="00E51A65">
            <w:pPr>
              <w:spacing w:line="480" w:lineRule="auto"/>
              <w:jc w:val="center"/>
              <w:rPr>
                <w:color w:val="000000"/>
              </w:rPr>
            </w:pPr>
            <w:r>
              <w:rPr>
                <w:color w:val="000000"/>
              </w:rPr>
              <w:t>209 (77.1%)</w:t>
            </w:r>
          </w:p>
        </w:tc>
        <w:tc>
          <w:tcPr>
            <w:tcW w:w="696" w:type="dxa"/>
            <w:tcBorders>
              <w:top w:val="nil"/>
              <w:left w:val="nil"/>
              <w:bottom w:val="nil"/>
              <w:right w:val="nil"/>
            </w:tcBorders>
            <w:shd w:val="clear" w:color="auto" w:fill="auto"/>
            <w:vAlign w:val="center"/>
            <w:hideMark/>
          </w:tcPr>
          <w:p w14:paraId="6B55688F" w14:textId="77777777" w:rsidR="006C346E" w:rsidRDefault="006C346E" w:rsidP="00E51A65">
            <w:pPr>
              <w:spacing w:line="480" w:lineRule="auto"/>
              <w:jc w:val="center"/>
              <w:rPr>
                <w:color w:val="000000"/>
              </w:rPr>
            </w:pPr>
            <w:r>
              <w:rPr>
                <w:color w:val="000000"/>
              </w:rPr>
              <w:t>.22</w:t>
            </w:r>
          </w:p>
        </w:tc>
      </w:tr>
      <w:tr w:rsidR="006C346E" w14:paraId="62AD0235" w14:textId="77777777" w:rsidTr="00E51A65">
        <w:trPr>
          <w:trHeight w:val="315"/>
        </w:trPr>
        <w:tc>
          <w:tcPr>
            <w:tcW w:w="3119" w:type="dxa"/>
            <w:tcBorders>
              <w:top w:val="nil"/>
              <w:left w:val="nil"/>
              <w:bottom w:val="nil"/>
              <w:right w:val="nil"/>
            </w:tcBorders>
            <w:shd w:val="clear" w:color="auto" w:fill="auto"/>
            <w:noWrap/>
            <w:vAlign w:val="bottom"/>
            <w:hideMark/>
          </w:tcPr>
          <w:p w14:paraId="7BBA0AC6"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Occasional</w:t>
            </w:r>
            <w:proofErr w:type="spellEnd"/>
            <w:r>
              <w:rPr>
                <w:rFonts w:ascii="Times" w:hAnsi="Times" w:cs="Times"/>
                <w:color w:val="000000"/>
              </w:rPr>
              <w:t xml:space="preserve"> </w:t>
            </w:r>
            <w:proofErr w:type="spellStart"/>
            <w:r>
              <w:rPr>
                <w:rFonts w:ascii="Times" w:hAnsi="Times" w:cs="Times"/>
                <w:color w:val="000000"/>
              </w:rPr>
              <w:t>smoker</w:t>
            </w:r>
            <w:proofErr w:type="spellEnd"/>
          </w:p>
        </w:tc>
        <w:tc>
          <w:tcPr>
            <w:tcW w:w="1580" w:type="dxa"/>
            <w:tcBorders>
              <w:top w:val="nil"/>
              <w:left w:val="nil"/>
              <w:bottom w:val="nil"/>
              <w:right w:val="nil"/>
            </w:tcBorders>
            <w:shd w:val="clear" w:color="auto" w:fill="auto"/>
            <w:noWrap/>
            <w:vAlign w:val="bottom"/>
            <w:hideMark/>
          </w:tcPr>
          <w:p w14:paraId="2B3C57A6" w14:textId="77777777" w:rsidR="006C346E" w:rsidRDefault="006C346E" w:rsidP="00E51A65">
            <w:pPr>
              <w:spacing w:line="480" w:lineRule="auto"/>
              <w:jc w:val="center"/>
              <w:rPr>
                <w:rFonts w:ascii="Times" w:hAnsi="Times" w:cs="Times"/>
                <w:color w:val="000000"/>
              </w:rPr>
            </w:pPr>
            <w:r>
              <w:rPr>
                <w:rFonts w:ascii="Times" w:hAnsi="Times" w:cs="Times"/>
                <w:color w:val="000000"/>
              </w:rPr>
              <w:t>343 (24.2%)</w:t>
            </w:r>
          </w:p>
        </w:tc>
        <w:tc>
          <w:tcPr>
            <w:tcW w:w="1428" w:type="dxa"/>
            <w:tcBorders>
              <w:top w:val="nil"/>
              <w:left w:val="nil"/>
              <w:bottom w:val="nil"/>
              <w:right w:val="nil"/>
            </w:tcBorders>
            <w:shd w:val="clear" w:color="auto" w:fill="auto"/>
            <w:vAlign w:val="center"/>
            <w:hideMark/>
          </w:tcPr>
          <w:p w14:paraId="44FB4FC0" w14:textId="77777777" w:rsidR="006C346E" w:rsidRDefault="006C346E" w:rsidP="00E51A65">
            <w:pPr>
              <w:spacing w:line="480" w:lineRule="auto"/>
              <w:jc w:val="center"/>
              <w:rPr>
                <w:color w:val="000000"/>
              </w:rPr>
            </w:pPr>
            <w:r>
              <w:rPr>
                <w:color w:val="000000"/>
              </w:rPr>
              <w:t>170 (26.3%)</w:t>
            </w:r>
          </w:p>
        </w:tc>
        <w:tc>
          <w:tcPr>
            <w:tcW w:w="1549" w:type="dxa"/>
            <w:tcBorders>
              <w:top w:val="nil"/>
              <w:left w:val="nil"/>
              <w:bottom w:val="nil"/>
              <w:right w:val="nil"/>
            </w:tcBorders>
            <w:shd w:val="clear" w:color="auto" w:fill="auto"/>
            <w:vAlign w:val="center"/>
            <w:hideMark/>
          </w:tcPr>
          <w:p w14:paraId="782F476C" w14:textId="77777777" w:rsidR="006C346E" w:rsidRDefault="006C346E" w:rsidP="00E51A65">
            <w:pPr>
              <w:spacing w:line="480" w:lineRule="auto"/>
              <w:jc w:val="center"/>
              <w:rPr>
                <w:color w:val="000000"/>
              </w:rPr>
            </w:pPr>
            <w:r>
              <w:rPr>
                <w:color w:val="000000"/>
              </w:rPr>
              <w:t>111 (22.2%)</w:t>
            </w:r>
          </w:p>
        </w:tc>
        <w:tc>
          <w:tcPr>
            <w:tcW w:w="1417" w:type="dxa"/>
            <w:tcBorders>
              <w:top w:val="nil"/>
              <w:left w:val="nil"/>
              <w:bottom w:val="nil"/>
              <w:right w:val="nil"/>
            </w:tcBorders>
            <w:shd w:val="clear" w:color="auto" w:fill="auto"/>
            <w:vAlign w:val="center"/>
            <w:hideMark/>
          </w:tcPr>
          <w:p w14:paraId="48D3EFCC" w14:textId="77777777" w:rsidR="006C346E" w:rsidRDefault="006C346E" w:rsidP="00E51A65">
            <w:pPr>
              <w:spacing w:line="480" w:lineRule="auto"/>
              <w:jc w:val="center"/>
              <w:rPr>
                <w:color w:val="000000"/>
              </w:rPr>
            </w:pPr>
            <w:r>
              <w:rPr>
                <w:color w:val="000000"/>
              </w:rPr>
              <w:t>62 (22.9%)</w:t>
            </w:r>
          </w:p>
        </w:tc>
        <w:tc>
          <w:tcPr>
            <w:tcW w:w="696" w:type="dxa"/>
            <w:tcBorders>
              <w:top w:val="nil"/>
              <w:left w:val="nil"/>
              <w:bottom w:val="nil"/>
              <w:right w:val="nil"/>
            </w:tcBorders>
            <w:shd w:val="clear" w:color="auto" w:fill="auto"/>
            <w:vAlign w:val="center"/>
            <w:hideMark/>
          </w:tcPr>
          <w:p w14:paraId="05A33ECD" w14:textId="77777777" w:rsidR="006C346E" w:rsidRDefault="006C346E" w:rsidP="00E51A65">
            <w:pPr>
              <w:spacing w:line="480" w:lineRule="auto"/>
              <w:jc w:val="center"/>
              <w:rPr>
                <w:color w:val="000000"/>
              </w:rPr>
            </w:pPr>
          </w:p>
        </w:tc>
      </w:tr>
      <w:tr w:rsidR="006C346E" w14:paraId="559397A7" w14:textId="77777777" w:rsidTr="00E51A65">
        <w:trPr>
          <w:trHeight w:val="690"/>
        </w:trPr>
        <w:tc>
          <w:tcPr>
            <w:tcW w:w="3119" w:type="dxa"/>
            <w:tcBorders>
              <w:top w:val="nil"/>
              <w:left w:val="nil"/>
              <w:bottom w:val="nil"/>
              <w:right w:val="nil"/>
            </w:tcBorders>
            <w:shd w:val="clear" w:color="auto" w:fill="auto"/>
            <w:vAlign w:val="bottom"/>
            <w:hideMark/>
          </w:tcPr>
          <w:p w14:paraId="223A8CE3" w14:textId="77777777" w:rsidR="006C346E" w:rsidRPr="00DB07B6" w:rsidRDefault="006C346E" w:rsidP="00E51A65">
            <w:pPr>
              <w:spacing w:line="480" w:lineRule="auto"/>
              <w:rPr>
                <w:rFonts w:ascii="Times" w:hAnsi="Times" w:cs="Times"/>
                <w:color w:val="000000"/>
                <w:lang w:val="en-GB"/>
              </w:rPr>
            </w:pPr>
            <w:r w:rsidRPr="00DB07B6">
              <w:rPr>
                <w:rFonts w:ascii="Times" w:hAnsi="Times" w:cs="Times"/>
                <w:color w:val="000000"/>
                <w:lang w:val="en-GB"/>
              </w:rPr>
              <w:t xml:space="preserve">Number of cigarettes smoked per day (CPD), </w:t>
            </w:r>
            <w:r w:rsidRPr="000E42AF">
              <w:rPr>
                <w:rFonts w:ascii="Times" w:hAnsi="Times" w:cs="Times"/>
                <w:i/>
                <w:color w:val="000000"/>
                <w:lang w:val="en-GB"/>
              </w:rPr>
              <w:t>M</w:t>
            </w:r>
            <w:r w:rsidRPr="00DB07B6">
              <w:rPr>
                <w:rFonts w:ascii="Times" w:hAnsi="Times" w:cs="Times"/>
                <w:color w:val="000000"/>
                <w:lang w:val="en-GB"/>
              </w:rPr>
              <w:t xml:space="preserve"> </w:t>
            </w:r>
            <w:r w:rsidRPr="000E42AF">
              <w:rPr>
                <w:rFonts w:ascii="Times" w:hAnsi="Times" w:cs="Times"/>
                <w:i/>
                <w:color w:val="000000"/>
                <w:lang w:val="en-GB"/>
              </w:rPr>
              <w:t>(SD)</w:t>
            </w:r>
            <w:r w:rsidRPr="00DB07B6">
              <w:rPr>
                <w:rFonts w:ascii="Times" w:hAnsi="Times" w:cs="Times"/>
                <w:color w:val="000000"/>
                <w:lang w:val="en-GB"/>
              </w:rPr>
              <w:t xml:space="preserve"> </w:t>
            </w:r>
            <w:proofErr w:type="spellStart"/>
            <w:r w:rsidRPr="002D1FD0">
              <w:rPr>
                <w:iCs/>
                <w:color w:val="000000"/>
                <w:vertAlign w:val="superscript"/>
                <w:lang w:val="en-GB"/>
              </w:rPr>
              <w:t>bc</w:t>
            </w:r>
            <w:proofErr w:type="spellEnd"/>
          </w:p>
        </w:tc>
        <w:tc>
          <w:tcPr>
            <w:tcW w:w="1580" w:type="dxa"/>
            <w:tcBorders>
              <w:top w:val="nil"/>
              <w:left w:val="nil"/>
              <w:bottom w:val="nil"/>
              <w:right w:val="nil"/>
            </w:tcBorders>
            <w:shd w:val="clear" w:color="auto" w:fill="auto"/>
            <w:vAlign w:val="center"/>
            <w:hideMark/>
          </w:tcPr>
          <w:p w14:paraId="3B3BADF1" w14:textId="77777777" w:rsidR="006C346E" w:rsidRDefault="006C346E" w:rsidP="00E51A65">
            <w:pPr>
              <w:spacing w:line="480" w:lineRule="auto"/>
              <w:jc w:val="center"/>
              <w:rPr>
                <w:color w:val="000000"/>
              </w:rPr>
            </w:pPr>
            <w:r>
              <w:rPr>
                <w:color w:val="000000"/>
              </w:rPr>
              <w:t>10.1 (7.3)</w:t>
            </w:r>
          </w:p>
        </w:tc>
        <w:tc>
          <w:tcPr>
            <w:tcW w:w="1428" w:type="dxa"/>
            <w:tcBorders>
              <w:top w:val="nil"/>
              <w:left w:val="nil"/>
              <w:bottom w:val="nil"/>
              <w:right w:val="nil"/>
            </w:tcBorders>
            <w:shd w:val="clear" w:color="auto" w:fill="auto"/>
            <w:vAlign w:val="center"/>
            <w:hideMark/>
          </w:tcPr>
          <w:p w14:paraId="7B8CC958" w14:textId="77777777" w:rsidR="006C346E" w:rsidRDefault="006C346E" w:rsidP="00E51A65">
            <w:pPr>
              <w:spacing w:line="480" w:lineRule="auto"/>
              <w:jc w:val="center"/>
              <w:rPr>
                <w:color w:val="000000"/>
              </w:rPr>
            </w:pPr>
            <w:r>
              <w:rPr>
                <w:color w:val="000000"/>
              </w:rPr>
              <w:t>9.9 (7.3)</w:t>
            </w:r>
          </w:p>
        </w:tc>
        <w:tc>
          <w:tcPr>
            <w:tcW w:w="1549" w:type="dxa"/>
            <w:tcBorders>
              <w:top w:val="nil"/>
              <w:left w:val="nil"/>
              <w:bottom w:val="nil"/>
              <w:right w:val="nil"/>
            </w:tcBorders>
            <w:shd w:val="clear" w:color="auto" w:fill="auto"/>
            <w:vAlign w:val="center"/>
            <w:hideMark/>
          </w:tcPr>
          <w:p w14:paraId="63152A28" w14:textId="77777777" w:rsidR="006C346E" w:rsidRDefault="006C346E" w:rsidP="00E51A65">
            <w:pPr>
              <w:spacing w:line="480" w:lineRule="auto"/>
              <w:jc w:val="center"/>
              <w:rPr>
                <w:color w:val="000000"/>
              </w:rPr>
            </w:pPr>
            <w:r>
              <w:rPr>
                <w:color w:val="000000"/>
              </w:rPr>
              <w:t>10.5 (7.4)</w:t>
            </w:r>
          </w:p>
        </w:tc>
        <w:tc>
          <w:tcPr>
            <w:tcW w:w="1417" w:type="dxa"/>
            <w:tcBorders>
              <w:top w:val="nil"/>
              <w:left w:val="nil"/>
              <w:bottom w:val="nil"/>
              <w:right w:val="nil"/>
            </w:tcBorders>
            <w:shd w:val="clear" w:color="auto" w:fill="auto"/>
            <w:vAlign w:val="center"/>
            <w:hideMark/>
          </w:tcPr>
          <w:p w14:paraId="3DFF1DAB" w14:textId="77777777" w:rsidR="006C346E" w:rsidRDefault="006C346E" w:rsidP="00E51A65">
            <w:pPr>
              <w:spacing w:line="480" w:lineRule="auto"/>
              <w:jc w:val="center"/>
              <w:rPr>
                <w:color w:val="000000"/>
              </w:rPr>
            </w:pPr>
            <w:r>
              <w:rPr>
                <w:color w:val="000000"/>
              </w:rPr>
              <w:t>10.0 (7.1)</w:t>
            </w:r>
          </w:p>
        </w:tc>
        <w:tc>
          <w:tcPr>
            <w:tcW w:w="696" w:type="dxa"/>
            <w:tcBorders>
              <w:top w:val="nil"/>
              <w:left w:val="nil"/>
              <w:bottom w:val="nil"/>
              <w:right w:val="nil"/>
            </w:tcBorders>
            <w:shd w:val="clear" w:color="auto" w:fill="auto"/>
            <w:vAlign w:val="center"/>
            <w:hideMark/>
          </w:tcPr>
          <w:p w14:paraId="7F21FA7D" w14:textId="77777777" w:rsidR="006C346E" w:rsidRDefault="006C346E" w:rsidP="00E51A65">
            <w:pPr>
              <w:spacing w:line="480" w:lineRule="auto"/>
              <w:jc w:val="center"/>
              <w:rPr>
                <w:color w:val="000000"/>
              </w:rPr>
            </w:pPr>
            <w:r>
              <w:rPr>
                <w:color w:val="000000"/>
              </w:rPr>
              <w:t>.32</w:t>
            </w:r>
          </w:p>
        </w:tc>
      </w:tr>
      <w:tr w:rsidR="006C346E" w14:paraId="20878223" w14:textId="77777777" w:rsidTr="00E51A65">
        <w:trPr>
          <w:trHeight w:val="375"/>
        </w:trPr>
        <w:tc>
          <w:tcPr>
            <w:tcW w:w="3119" w:type="dxa"/>
            <w:tcBorders>
              <w:top w:val="nil"/>
              <w:left w:val="nil"/>
              <w:bottom w:val="nil"/>
              <w:right w:val="nil"/>
            </w:tcBorders>
            <w:shd w:val="clear" w:color="auto" w:fill="auto"/>
            <w:noWrap/>
            <w:vAlign w:val="bottom"/>
            <w:hideMark/>
          </w:tcPr>
          <w:p w14:paraId="1A2DC074" w14:textId="77777777" w:rsidR="006C346E" w:rsidRDefault="006C346E" w:rsidP="00E51A65">
            <w:pPr>
              <w:spacing w:line="480" w:lineRule="auto"/>
              <w:rPr>
                <w:rFonts w:ascii="Times" w:hAnsi="Times" w:cs="Times"/>
                <w:color w:val="000000"/>
              </w:rPr>
            </w:pPr>
            <w:r>
              <w:rPr>
                <w:rFonts w:ascii="Times" w:hAnsi="Times" w:cs="Times"/>
                <w:color w:val="000000"/>
              </w:rPr>
              <w:t xml:space="preserve">Stage </w:t>
            </w:r>
            <w:proofErr w:type="spellStart"/>
            <w:r>
              <w:rPr>
                <w:rFonts w:ascii="Times" w:hAnsi="Times" w:cs="Times"/>
                <w:color w:val="000000"/>
              </w:rPr>
              <w:t>of</w:t>
            </w:r>
            <w:proofErr w:type="spellEnd"/>
            <w:r>
              <w:rPr>
                <w:rFonts w:ascii="Times" w:hAnsi="Times" w:cs="Times"/>
                <w:color w:val="000000"/>
              </w:rPr>
              <w:t xml:space="preserve"> </w:t>
            </w:r>
            <w:proofErr w:type="spellStart"/>
            <w:r>
              <w:rPr>
                <w:rFonts w:ascii="Times" w:hAnsi="Times" w:cs="Times"/>
                <w:color w:val="000000"/>
              </w:rPr>
              <w:t>change</w:t>
            </w:r>
            <w:proofErr w:type="spellEnd"/>
            <w:r>
              <w:rPr>
                <w:rFonts w:ascii="Times" w:hAnsi="Times" w:cs="Times"/>
                <w:color w:val="000000"/>
              </w:rPr>
              <w:t xml:space="preserve"> (%) </w:t>
            </w:r>
            <w:r w:rsidRPr="002D1FD0">
              <w:rPr>
                <w:color w:val="000000"/>
                <w:vertAlign w:val="superscript"/>
              </w:rPr>
              <w:t>ad</w:t>
            </w:r>
          </w:p>
        </w:tc>
        <w:tc>
          <w:tcPr>
            <w:tcW w:w="1580" w:type="dxa"/>
            <w:tcBorders>
              <w:top w:val="nil"/>
              <w:left w:val="nil"/>
              <w:bottom w:val="nil"/>
              <w:right w:val="nil"/>
            </w:tcBorders>
            <w:shd w:val="clear" w:color="auto" w:fill="auto"/>
            <w:noWrap/>
            <w:vAlign w:val="bottom"/>
            <w:hideMark/>
          </w:tcPr>
          <w:p w14:paraId="683CF35C" w14:textId="77777777" w:rsidR="006C346E" w:rsidRDefault="006C346E" w:rsidP="00E51A65">
            <w:pPr>
              <w:spacing w:line="480" w:lineRule="auto"/>
              <w:rPr>
                <w:rFonts w:ascii="Times" w:hAnsi="Times" w:cs="Times"/>
                <w:color w:val="000000"/>
              </w:rPr>
            </w:pPr>
          </w:p>
        </w:tc>
        <w:tc>
          <w:tcPr>
            <w:tcW w:w="1428" w:type="dxa"/>
            <w:tcBorders>
              <w:top w:val="nil"/>
              <w:left w:val="nil"/>
              <w:bottom w:val="nil"/>
              <w:right w:val="nil"/>
            </w:tcBorders>
            <w:shd w:val="clear" w:color="auto" w:fill="auto"/>
            <w:vAlign w:val="center"/>
            <w:hideMark/>
          </w:tcPr>
          <w:p w14:paraId="05510CBB" w14:textId="77777777" w:rsidR="006C346E" w:rsidRDefault="006C346E" w:rsidP="00E51A65">
            <w:pPr>
              <w:spacing w:line="480" w:lineRule="auto"/>
              <w:rPr>
                <w:sz w:val="20"/>
                <w:szCs w:val="20"/>
              </w:rPr>
            </w:pPr>
          </w:p>
        </w:tc>
        <w:tc>
          <w:tcPr>
            <w:tcW w:w="1549" w:type="dxa"/>
            <w:tcBorders>
              <w:top w:val="nil"/>
              <w:left w:val="nil"/>
              <w:bottom w:val="nil"/>
              <w:right w:val="nil"/>
            </w:tcBorders>
            <w:shd w:val="clear" w:color="auto" w:fill="auto"/>
            <w:vAlign w:val="center"/>
            <w:hideMark/>
          </w:tcPr>
          <w:p w14:paraId="11622286" w14:textId="77777777" w:rsidR="006C346E" w:rsidRDefault="006C346E" w:rsidP="00E51A65">
            <w:pPr>
              <w:spacing w:line="480" w:lineRule="auto"/>
              <w:jc w:val="center"/>
              <w:rPr>
                <w:sz w:val="20"/>
                <w:szCs w:val="20"/>
              </w:rPr>
            </w:pPr>
          </w:p>
        </w:tc>
        <w:tc>
          <w:tcPr>
            <w:tcW w:w="1417" w:type="dxa"/>
            <w:tcBorders>
              <w:top w:val="nil"/>
              <w:left w:val="nil"/>
              <w:bottom w:val="nil"/>
              <w:right w:val="nil"/>
            </w:tcBorders>
            <w:shd w:val="clear" w:color="auto" w:fill="auto"/>
            <w:vAlign w:val="center"/>
            <w:hideMark/>
          </w:tcPr>
          <w:p w14:paraId="7CD3382E" w14:textId="77777777" w:rsidR="006C346E" w:rsidRDefault="006C346E" w:rsidP="00E51A65">
            <w:pPr>
              <w:spacing w:line="480" w:lineRule="auto"/>
              <w:jc w:val="center"/>
              <w:rPr>
                <w:sz w:val="20"/>
                <w:szCs w:val="20"/>
              </w:rPr>
            </w:pPr>
          </w:p>
        </w:tc>
        <w:tc>
          <w:tcPr>
            <w:tcW w:w="696" w:type="dxa"/>
            <w:tcBorders>
              <w:top w:val="nil"/>
              <w:left w:val="nil"/>
              <w:bottom w:val="nil"/>
              <w:right w:val="nil"/>
            </w:tcBorders>
            <w:shd w:val="clear" w:color="auto" w:fill="auto"/>
            <w:vAlign w:val="center"/>
            <w:hideMark/>
          </w:tcPr>
          <w:p w14:paraId="4E1F442E" w14:textId="77777777" w:rsidR="006C346E" w:rsidRDefault="006C346E" w:rsidP="00E51A65">
            <w:pPr>
              <w:spacing w:line="480" w:lineRule="auto"/>
              <w:jc w:val="center"/>
              <w:rPr>
                <w:sz w:val="20"/>
                <w:szCs w:val="20"/>
              </w:rPr>
            </w:pPr>
          </w:p>
        </w:tc>
      </w:tr>
      <w:tr w:rsidR="006C346E" w14:paraId="17E90005" w14:textId="77777777" w:rsidTr="00E51A65">
        <w:trPr>
          <w:trHeight w:val="315"/>
        </w:trPr>
        <w:tc>
          <w:tcPr>
            <w:tcW w:w="3119" w:type="dxa"/>
            <w:tcBorders>
              <w:top w:val="nil"/>
              <w:left w:val="nil"/>
              <w:bottom w:val="nil"/>
              <w:right w:val="nil"/>
            </w:tcBorders>
            <w:shd w:val="clear" w:color="auto" w:fill="auto"/>
            <w:noWrap/>
            <w:vAlign w:val="bottom"/>
            <w:hideMark/>
          </w:tcPr>
          <w:p w14:paraId="09984200"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No</w:t>
            </w:r>
            <w:proofErr w:type="spellEnd"/>
            <w:r>
              <w:rPr>
                <w:rFonts w:ascii="Times" w:hAnsi="Times" w:cs="Times"/>
                <w:color w:val="000000"/>
              </w:rPr>
              <w:t xml:space="preserve"> </w:t>
            </w:r>
            <w:proofErr w:type="spellStart"/>
            <w:r>
              <w:rPr>
                <w:rFonts w:ascii="Times" w:hAnsi="Times" w:cs="Times"/>
                <w:color w:val="000000"/>
              </w:rPr>
              <w:t>intention</w:t>
            </w:r>
            <w:proofErr w:type="spellEnd"/>
            <w:r>
              <w:rPr>
                <w:rFonts w:ascii="Times" w:hAnsi="Times" w:cs="Times"/>
                <w:color w:val="000000"/>
              </w:rPr>
              <w:t xml:space="preserve"> </w:t>
            </w:r>
            <w:proofErr w:type="spellStart"/>
            <w:r>
              <w:rPr>
                <w:rFonts w:ascii="Times" w:hAnsi="Times" w:cs="Times"/>
                <w:color w:val="000000"/>
              </w:rPr>
              <w:t>to</w:t>
            </w:r>
            <w:proofErr w:type="spellEnd"/>
            <w:r>
              <w:rPr>
                <w:rFonts w:ascii="Times" w:hAnsi="Times" w:cs="Times"/>
                <w:color w:val="000000"/>
              </w:rPr>
              <w:t xml:space="preserve"> </w:t>
            </w:r>
            <w:proofErr w:type="spellStart"/>
            <w:r>
              <w:rPr>
                <w:rFonts w:ascii="Times" w:hAnsi="Times" w:cs="Times"/>
                <w:color w:val="000000"/>
              </w:rPr>
              <w:t>quit</w:t>
            </w:r>
            <w:proofErr w:type="spellEnd"/>
          </w:p>
        </w:tc>
        <w:tc>
          <w:tcPr>
            <w:tcW w:w="1580" w:type="dxa"/>
            <w:tcBorders>
              <w:top w:val="nil"/>
              <w:left w:val="nil"/>
              <w:bottom w:val="nil"/>
              <w:right w:val="nil"/>
            </w:tcBorders>
            <w:shd w:val="clear" w:color="auto" w:fill="auto"/>
            <w:noWrap/>
            <w:vAlign w:val="bottom"/>
            <w:hideMark/>
          </w:tcPr>
          <w:p w14:paraId="31289FD7" w14:textId="77777777" w:rsidR="006C346E" w:rsidRDefault="006C346E" w:rsidP="00E51A65">
            <w:pPr>
              <w:spacing w:line="480" w:lineRule="auto"/>
              <w:jc w:val="center"/>
              <w:rPr>
                <w:rFonts w:ascii="Times" w:hAnsi="Times" w:cs="Times"/>
                <w:color w:val="000000"/>
              </w:rPr>
            </w:pPr>
            <w:r>
              <w:rPr>
                <w:rFonts w:ascii="Times" w:hAnsi="Times" w:cs="Times"/>
                <w:color w:val="000000"/>
              </w:rPr>
              <w:t>396 (28.0%)</w:t>
            </w:r>
          </w:p>
        </w:tc>
        <w:tc>
          <w:tcPr>
            <w:tcW w:w="1428" w:type="dxa"/>
            <w:tcBorders>
              <w:top w:val="nil"/>
              <w:left w:val="nil"/>
              <w:bottom w:val="nil"/>
              <w:right w:val="nil"/>
            </w:tcBorders>
            <w:shd w:val="clear" w:color="auto" w:fill="auto"/>
            <w:vAlign w:val="center"/>
            <w:hideMark/>
          </w:tcPr>
          <w:p w14:paraId="7E88CA87" w14:textId="77777777" w:rsidR="006C346E" w:rsidRDefault="006C346E" w:rsidP="00E51A65">
            <w:pPr>
              <w:spacing w:line="480" w:lineRule="auto"/>
              <w:jc w:val="center"/>
              <w:rPr>
                <w:color w:val="000000"/>
              </w:rPr>
            </w:pPr>
            <w:r>
              <w:rPr>
                <w:color w:val="000000"/>
              </w:rPr>
              <w:t>200 (31.0%)</w:t>
            </w:r>
          </w:p>
        </w:tc>
        <w:tc>
          <w:tcPr>
            <w:tcW w:w="1549" w:type="dxa"/>
            <w:tcBorders>
              <w:top w:val="nil"/>
              <w:left w:val="nil"/>
              <w:bottom w:val="nil"/>
              <w:right w:val="nil"/>
            </w:tcBorders>
            <w:shd w:val="clear" w:color="auto" w:fill="auto"/>
            <w:vAlign w:val="center"/>
            <w:hideMark/>
          </w:tcPr>
          <w:p w14:paraId="60CE8B8F" w14:textId="77777777" w:rsidR="006C346E" w:rsidRDefault="006C346E" w:rsidP="00E51A65">
            <w:pPr>
              <w:spacing w:line="480" w:lineRule="auto"/>
              <w:jc w:val="center"/>
              <w:rPr>
                <w:color w:val="000000"/>
              </w:rPr>
            </w:pPr>
            <w:r>
              <w:rPr>
                <w:color w:val="000000"/>
              </w:rPr>
              <w:t>124 (24.8%)</w:t>
            </w:r>
          </w:p>
        </w:tc>
        <w:tc>
          <w:tcPr>
            <w:tcW w:w="1417" w:type="dxa"/>
            <w:tcBorders>
              <w:top w:val="nil"/>
              <w:left w:val="nil"/>
              <w:bottom w:val="nil"/>
              <w:right w:val="nil"/>
            </w:tcBorders>
            <w:shd w:val="clear" w:color="auto" w:fill="auto"/>
            <w:vAlign w:val="center"/>
            <w:hideMark/>
          </w:tcPr>
          <w:p w14:paraId="6ECCEA27" w14:textId="77777777" w:rsidR="006C346E" w:rsidRDefault="006C346E" w:rsidP="00E51A65">
            <w:pPr>
              <w:spacing w:line="480" w:lineRule="auto"/>
              <w:jc w:val="center"/>
              <w:rPr>
                <w:color w:val="000000"/>
              </w:rPr>
            </w:pPr>
            <w:r>
              <w:rPr>
                <w:color w:val="000000"/>
              </w:rPr>
              <w:t>72 (26.8%)</w:t>
            </w:r>
          </w:p>
        </w:tc>
        <w:tc>
          <w:tcPr>
            <w:tcW w:w="696" w:type="dxa"/>
            <w:tcBorders>
              <w:top w:val="nil"/>
              <w:left w:val="nil"/>
              <w:bottom w:val="nil"/>
              <w:right w:val="nil"/>
            </w:tcBorders>
            <w:shd w:val="clear" w:color="auto" w:fill="auto"/>
            <w:vAlign w:val="center"/>
            <w:hideMark/>
          </w:tcPr>
          <w:p w14:paraId="463FC803" w14:textId="77777777" w:rsidR="006C346E" w:rsidRDefault="006C346E" w:rsidP="00E51A65">
            <w:pPr>
              <w:spacing w:line="480" w:lineRule="auto"/>
              <w:jc w:val="center"/>
              <w:rPr>
                <w:color w:val="000000"/>
              </w:rPr>
            </w:pPr>
            <w:r w:rsidRPr="001B7FD4">
              <w:rPr>
                <w:color w:val="000000"/>
              </w:rPr>
              <w:t>.03</w:t>
            </w:r>
          </w:p>
        </w:tc>
      </w:tr>
      <w:tr w:rsidR="006C346E" w14:paraId="2DB1AF8D" w14:textId="77777777" w:rsidTr="00E51A65">
        <w:trPr>
          <w:trHeight w:val="315"/>
        </w:trPr>
        <w:tc>
          <w:tcPr>
            <w:tcW w:w="3119" w:type="dxa"/>
            <w:tcBorders>
              <w:top w:val="nil"/>
              <w:left w:val="nil"/>
              <w:bottom w:val="nil"/>
              <w:right w:val="nil"/>
            </w:tcBorders>
            <w:shd w:val="clear" w:color="auto" w:fill="auto"/>
            <w:noWrap/>
            <w:vAlign w:val="bottom"/>
            <w:hideMark/>
          </w:tcPr>
          <w:p w14:paraId="60B28CFE"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Considering</w:t>
            </w:r>
            <w:proofErr w:type="spellEnd"/>
            <w:r>
              <w:rPr>
                <w:rFonts w:ascii="Times" w:hAnsi="Times" w:cs="Times"/>
                <w:color w:val="000000"/>
              </w:rPr>
              <w:t xml:space="preserve"> </w:t>
            </w:r>
            <w:proofErr w:type="spellStart"/>
            <w:r>
              <w:rPr>
                <w:rFonts w:ascii="Times" w:hAnsi="Times" w:cs="Times"/>
                <w:color w:val="000000"/>
              </w:rPr>
              <w:t>quitting</w:t>
            </w:r>
            <w:proofErr w:type="spellEnd"/>
          </w:p>
        </w:tc>
        <w:tc>
          <w:tcPr>
            <w:tcW w:w="1580" w:type="dxa"/>
            <w:tcBorders>
              <w:top w:val="nil"/>
              <w:left w:val="nil"/>
              <w:bottom w:val="nil"/>
              <w:right w:val="nil"/>
            </w:tcBorders>
            <w:shd w:val="clear" w:color="auto" w:fill="auto"/>
            <w:vAlign w:val="center"/>
            <w:hideMark/>
          </w:tcPr>
          <w:p w14:paraId="3CD7C98F" w14:textId="77777777" w:rsidR="006C346E" w:rsidRDefault="006C346E" w:rsidP="00E51A65">
            <w:pPr>
              <w:spacing w:line="480" w:lineRule="auto"/>
              <w:jc w:val="center"/>
              <w:rPr>
                <w:color w:val="000000"/>
              </w:rPr>
            </w:pPr>
            <w:r>
              <w:rPr>
                <w:color w:val="000000"/>
              </w:rPr>
              <w:t>825 (58.3%)</w:t>
            </w:r>
          </w:p>
        </w:tc>
        <w:tc>
          <w:tcPr>
            <w:tcW w:w="1428" w:type="dxa"/>
            <w:tcBorders>
              <w:top w:val="nil"/>
              <w:left w:val="nil"/>
              <w:bottom w:val="nil"/>
              <w:right w:val="nil"/>
            </w:tcBorders>
            <w:shd w:val="clear" w:color="auto" w:fill="auto"/>
            <w:vAlign w:val="center"/>
            <w:hideMark/>
          </w:tcPr>
          <w:p w14:paraId="3D5C5242" w14:textId="77777777" w:rsidR="006C346E" w:rsidRDefault="006C346E" w:rsidP="00E51A65">
            <w:pPr>
              <w:spacing w:line="480" w:lineRule="auto"/>
              <w:jc w:val="center"/>
              <w:rPr>
                <w:color w:val="000000"/>
              </w:rPr>
            </w:pPr>
            <w:r>
              <w:rPr>
                <w:color w:val="000000"/>
              </w:rPr>
              <w:t>372 (57.6%)</w:t>
            </w:r>
          </w:p>
        </w:tc>
        <w:tc>
          <w:tcPr>
            <w:tcW w:w="1549" w:type="dxa"/>
            <w:tcBorders>
              <w:top w:val="nil"/>
              <w:left w:val="nil"/>
              <w:bottom w:val="nil"/>
              <w:right w:val="nil"/>
            </w:tcBorders>
            <w:shd w:val="clear" w:color="auto" w:fill="auto"/>
            <w:vAlign w:val="center"/>
            <w:hideMark/>
          </w:tcPr>
          <w:p w14:paraId="19CC899E" w14:textId="77777777" w:rsidR="006C346E" w:rsidRDefault="006C346E" w:rsidP="00E51A65">
            <w:pPr>
              <w:spacing w:line="480" w:lineRule="auto"/>
              <w:jc w:val="center"/>
              <w:rPr>
                <w:color w:val="000000"/>
              </w:rPr>
            </w:pPr>
            <w:r>
              <w:rPr>
                <w:color w:val="000000"/>
              </w:rPr>
              <w:t>291 (58.2%)</w:t>
            </w:r>
          </w:p>
        </w:tc>
        <w:tc>
          <w:tcPr>
            <w:tcW w:w="1417" w:type="dxa"/>
            <w:tcBorders>
              <w:top w:val="nil"/>
              <w:left w:val="nil"/>
              <w:bottom w:val="nil"/>
              <w:right w:val="nil"/>
            </w:tcBorders>
            <w:shd w:val="clear" w:color="auto" w:fill="auto"/>
            <w:vAlign w:val="center"/>
            <w:hideMark/>
          </w:tcPr>
          <w:p w14:paraId="56C82B7E" w14:textId="77777777" w:rsidR="006C346E" w:rsidRDefault="006C346E" w:rsidP="00E51A65">
            <w:pPr>
              <w:spacing w:line="480" w:lineRule="auto"/>
              <w:jc w:val="center"/>
              <w:rPr>
                <w:color w:val="000000"/>
              </w:rPr>
            </w:pPr>
            <w:r>
              <w:rPr>
                <w:color w:val="000000"/>
              </w:rPr>
              <w:t>162 (60.2%)</w:t>
            </w:r>
          </w:p>
        </w:tc>
        <w:tc>
          <w:tcPr>
            <w:tcW w:w="696" w:type="dxa"/>
            <w:tcBorders>
              <w:top w:val="nil"/>
              <w:left w:val="nil"/>
              <w:bottom w:val="nil"/>
              <w:right w:val="nil"/>
            </w:tcBorders>
            <w:shd w:val="clear" w:color="auto" w:fill="auto"/>
            <w:vAlign w:val="center"/>
            <w:hideMark/>
          </w:tcPr>
          <w:p w14:paraId="58396A59" w14:textId="77777777" w:rsidR="006C346E" w:rsidRDefault="006C346E" w:rsidP="00E51A65">
            <w:pPr>
              <w:spacing w:line="480" w:lineRule="auto"/>
              <w:jc w:val="center"/>
              <w:rPr>
                <w:color w:val="000000"/>
              </w:rPr>
            </w:pPr>
          </w:p>
        </w:tc>
      </w:tr>
      <w:tr w:rsidR="006C346E" w14:paraId="4E5AC635" w14:textId="77777777" w:rsidTr="00E51A65">
        <w:trPr>
          <w:trHeight w:val="315"/>
        </w:trPr>
        <w:tc>
          <w:tcPr>
            <w:tcW w:w="3119" w:type="dxa"/>
            <w:tcBorders>
              <w:top w:val="nil"/>
              <w:left w:val="nil"/>
              <w:right w:val="nil"/>
            </w:tcBorders>
            <w:shd w:val="clear" w:color="auto" w:fill="auto"/>
            <w:noWrap/>
            <w:vAlign w:val="bottom"/>
            <w:hideMark/>
          </w:tcPr>
          <w:p w14:paraId="14A87830"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Serious</w:t>
            </w:r>
            <w:proofErr w:type="spellEnd"/>
            <w:r>
              <w:rPr>
                <w:rFonts w:ascii="Times" w:hAnsi="Times" w:cs="Times"/>
                <w:color w:val="000000"/>
              </w:rPr>
              <w:t xml:space="preserve"> </w:t>
            </w:r>
            <w:proofErr w:type="spellStart"/>
            <w:r>
              <w:rPr>
                <w:rFonts w:ascii="Times" w:hAnsi="Times" w:cs="Times"/>
                <w:color w:val="000000"/>
              </w:rPr>
              <w:t>intention</w:t>
            </w:r>
            <w:proofErr w:type="spellEnd"/>
            <w:r>
              <w:rPr>
                <w:rFonts w:ascii="Times" w:hAnsi="Times" w:cs="Times"/>
                <w:color w:val="000000"/>
              </w:rPr>
              <w:t xml:space="preserve"> </w:t>
            </w:r>
            <w:proofErr w:type="spellStart"/>
            <w:r>
              <w:rPr>
                <w:rFonts w:ascii="Times" w:hAnsi="Times" w:cs="Times"/>
                <w:color w:val="000000"/>
              </w:rPr>
              <w:t>to</w:t>
            </w:r>
            <w:proofErr w:type="spellEnd"/>
            <w:r>
              <w:rPr>
                <w:rFonts w:ascii="Times" w:hAnsi="Times" w:cs="Times"/>
                <w:color w:val="000000"/>
              </w:rPr>
              <w:t xml:space="preserve"> </w:t>
            </w:r>
            <w:proofErr w:type="spellStart"/>
            <w:r>
              <w:rPr>
                <w:rFonts w:ascii="Times" w:hAnsi="Times" w:cs="Times"/>
                <w:color w:val="000000"/>
              </w:rPr>
              <w:t>quit</w:t>
            </w:r>
            <w:proofErr w:type="spellEnd"/>
          </w:p>
        </w:tc>
        <w:tc>
          <w:tcPr>
            <w:tcW w:w="1580" w:type="dxa"/>
            <w:tcBorders>
              <w:top w:val="nil"/>
              <w:left w:val="nil"/>
              <w:right w:val="nil"/>
            </w:tcBorders>
            <w:shd w:val="clear" w:color="auto" w:fill="auto"/>
            <w:noWrap/>
            <w:vAlign w:val="bottom"/>
            <w:hideMark/>
          </w:tcPr>
          <w:p w14:paraId="1E177340" w14:textId="77777777" w:rsidR="006C346E" w:rsidRDefault="006C346E" w:rsidP="00E51A65">
            <w:pPr>
              <w:spacing w:line="480" w:lineRule="auto"/>
              <w:jc w:val="center"/>
              <w:rPr>
                <w:rFonts w:ascii="Times" w:hAnsi="Times" w:cs="Times"/>
                <w:color w:val="000000"/>
              </w:rPr>
            </w:pPr>
            <w:r>
              <w:rPr>
                <w:rFonts w:ascii="Times" w:hAnsi="Times" w:cs="Times"/>
                <w:color w:val="000000"/>
              </w:rPr>
              <w:t>194 (13.7%)</w:t>
            </w:r>
          </w:p>
        </w:tc>
        <w:tc>
          <w:tcPr>
            <w:tcW w:w="1428" w:type="dxa"/>
            <w:tcBorders>
              <w:top w:val="nil"/>
              <w:left w:val="nil"/>
              <w:right w:val="nil"/>
            </w:tcBorders>
            <w:shd w:val="clear" w:color="auto" w:fill="auto"/>
            <w:vAlign w:val="center"/>
            <w:hideMark/>
          </w:tcPr>
          <w:p w14:paraId="04AD1F5E" w14:textId="77777777" w:rsidR="006C346E" w:rsidRDefault="006C346E" w:rsidP="00E51A65">
            <w:pPr>
              <w:spacing w:line="480" w:lineRule="auto"/>
              <w:jc w:val="center"/>
              <w:rPr>
                <w:color w:val="000000"/>
              </w:rPr>
            </w:pPr>
            <w:r>
              <w:rPr>
                <w:color w:val="000000"/>
              </w:rPr>
              <w:t>74 (11.5%)</w:t>
            </w:r>
          </w:p>
        </w:tc>
        <w:tc>
          <w:tcPr>
            <w:tcW w:w="1549" w:type="dxa"/>
            <w:tcBorders>
              <w:top w:val="nil"/>
              <w:left w:val="nil"/>
              <w:right w:val="nil"/>
            </w:tcBorders>
            <w:shd w:val="clear" w:color="auto" w:fill="auto"/>
            <w:vAlign w:val="center"/>
            <w:hideMark/>
          </w:tcPr>
          <w:p w14:paraId="009906B6" w14:textId="77777777" w:rsidR="006C346E" w:rsidRDefault="006C346E" w:rsidP="00E51A65">
            <w:pPr>
              <w:spacing w:line="480" w:lineRule="auto"/>
              <w:jc w:val="center"/>
              <w:rPr>
                <w:color w:val="000000"/>
              </w:rPr>
            </w:pPr>
            <w:r>
              <w:rPr>
                <w:color w:val="000000"/>
              </w:rPr>
              <w:t>85 (17.0%)</w:t>
            </w:r>
          </w:p>
        </w:tc>
        <w:tc>
          <w:tcPr>
            <w:tcW w:w="1417" w:type="dxa"/>
            <w:tcBorders>
              <w:top w:val="nil"/>
              <w:left w:val="nil"/>
              <w:right w:val="nil"/>
            </w:tcBorders>
            <w:shd w:val="clear" w:color="auto" w:fill="auto"/>
            <w:vAlign w:val="center"/>
            <w:hideMark/>
          </w:tcPr>
          <w:p w14:paraId="09A31204" w14:textId="77777777" w:rsidR="006C346E" w:rsidRDefault="006C346E" w:rsidP="00E51A65">
            <w:pPr>
              <w:spacing w:line="480" w:lineRule="auto"/>
              <w:jc w:val="center"/>
              <w:rPr>
                <w:color w:val="000000"/>
              </w:rPr>
            </w:pPr>
            <w:r>
              <w:rPr>
                <w:color w:val="000000"/>
              </w:rPr>
              <w:t>35 (13.0%)</w:t>
            </w:r>
          </w:p>
        </w:tc>
        <w:tc>
          <w:tcPr>
            <w:tcW w:w="696" w:type="dxa"/>
            <w:tcBorders>
              <w:top w:val="nil"/>
              <w:left w:val="nil"/>
              <w:right w:val="nil"/>
            </w:tcBorders>
            <w:shd w:val="clear" w:color="auto" w:fill="auto"/>
            <w:vAlign w:val="center"/>
            <w:hideMark/>
          </w:tcPr>
          <w:p w14:paraId="4FF6E923" w14:textId="77777777" w:rsidR="006C346E" w:rsidRDefault="006C346E" w:rsidP="00E51A65">
            <w:pPr>
              <w:spacing w:line="480" w:lineRule="auto"/>
              <w:jc w:val="center"/>
              <w:rPr>
                <w:color w:val="000000"/>
              </w:rPr>
            </w:pPr>
          </w:p>
        </w:tc>
      </w:tr>
      <w:tr w:rsidR="006C346E" w:rsidRPr="000C15A4" w14:paraId="27FD70C0" w14:textId="77777777" w:rsidTr="00E51A65">
        <w:trPr>
          <w:trHeight w:val="315"/>
        </w:trPr>
        <w:tc>
          <w:tcPr>
            <w:tcW w:w="3119" w:type="dxa"/>
            <w:tcBorders>
              <w:top w:val="nil"/>
              <w:left w:val="nil"/>
              <w:right w:val="nil"/>
            </w:tcBorders>
            <w:shd w:val="clear" w:color="auto" w:fill="auto"/>
            <w:noWrap/>
            <w:vAlign w:val="bottom"/>
          </w:tcPr>
          <w:p w14:paraId="0B72C35D" w14:textId="77777777" w:rsidR="006C346E" w:rsidRPr="000C15A4" w:rsidRDefault="006C346E" w:rsidP="00E51A65">
            <w:pPr>
              <w:spacing w:line="480" w:lineRule="auto"/>
              <w:rPr>
                <w:rFonts w:ascii="Times" w:hAnsi="Times" w:cs="Times"/>
                <w:color w:val="000000"/>
                <w:highlight w:val="yellow"/>
                <w:lang w:val="en-GB"/>
              </w:rPr>
            </w:pPr>
            <w:r w:rsidRPr="00A678FA">
              <w:rPr>
                <w:rFonts w:ascii="Times" w:hAnsi="Times" w:cs="Times"/>
                <w:color w:val="000000"/>
                <w:lang w:val="en-GB"/>
              </w:rPr>
              <w:t xml:space="preserve">Benefits of quitting smoking, </w:t>
            </w:r>
            <w:r w:rsidRPr="00A678FA">
              <w:rPr>
                <w:rFonts w:ascii="Times" w:hAnsi="Times" w:cs="Times"/>
                <w:i/>
                <w:color w:val="000000"/>
                <w:lang w:val="en-GB"/>
              </w:rPr>
              <w:t>M</w:t>
            </w:r>
            <w:r w:rsidRPr="00A678FA">
              <w:rPr>
                <w:rFonts w:ascii="Times" w:hAnsi="Times" w:cs="Times"/>
                <w:color w:val="000000"/>
                <w:lang w:val="en-GB"/>
              </w:rPr>
              <w:t xml:space="preserve"> </w:t>
            </w:r>
            <w:r w:rsidRPr="00A678FA">
              <w:rPr>
                <w:rFonts w:ascii="Times" w:hAnsi="Times" w:cs="Times"/>
                <w:i/>
                <w:color w:val="000000"/>
                <w:lang w:val="en-GB"/>
              </w:rPr>
              <w:t>(SD)</w:t>
            </w:r>
            <w:r w:rsidRPr="00A678FA">
              <w:rPr>
                <w:rFonts w:ascii="Times" w:hAnsi="Times" w:cs="Times"/>
                <w:color w:val="000000"/>
                <w:lang w:val="en-GB"/>
              </w:rPr>
              <w:t xml:space="preserve"> </w:t>
            </w:r>
            <w:proofErr w:type="spellStart"/>
            <w:r w:rsidRPr="00A678FA">
              <w:rPr>
                <w:iCs/>
                <w:color w:val="000000"/>
                <w:vertAlign w:val="superscript"/>
                <w:lang w:val="en-GB"/>
              </w:rPr>
              <w:t>bc</w:t>
            </w:r>
            <w:proofErr w:type="spellEnd"/>
          </w:p>
        </w:tc>
        <w:tc>
          <w:tcPr>
            <w:tcW w:w="1580" w:type="dxa"/>
            <w:tcBorders>
              <w:top w:val="nil"/>
              <w:left w:val="nil"/>
              <w:right w:val="nil"/>
            </w:tcBorders>
            <w:shd w:val="clear" w:color="auto" w:fill="auto"/>
            <w:noWrap/>
            <w:vAlign w:val="center"/>
          </w:tcPr>
          <w:p w14:paraId="4CBD6DAC" w14:textId="77777777" w:rsidR="006C346E" w:rsidRPr="000C15A4" w:rsidRDefault="006C346E" w:rsidP="00E51A65">
            <w:pPr>
              <w:spacing w:line="480" w:lineRule="auto"/>
              <w:jc w:val="center"/>
              <w:rPr>
                <w:rFonts w:ascii="Times" w:hAnsi="Times" w:cs="Times"/>
                <w:color w:val="000000"/>
                <w:lang w:val="en-GB"/>
              </w:rPr>
            </w:pPr>
            <w:r>
              <w:rPr>
                <w:rFonts w:ascii="Times" w:hAnsi="Times" w:cs="Times"/>
                <w:color w:val="000000"/>
                <w:lang w:val="en-GB"/>
              </w:rPr>
              <w:t>1.38 (0.3)</w:t>
            </w:r>
          </w:p>
        </w:tc>
        <w:tc>
          <w:tcPr>
            <w:tcW w:w="1428" w:type="dxa"/>
            <w:tcBorders>
              <w:top w:val="nil"/>
              <w:left w:val="nil"/>
              <w:right w:val="nil"/>
            </w:tcBorders>
            <w:shd w:val="clear" w:color="auto" w:fill="auto"/>
            <w:vAlign w:val="center"/>
          </w:tcPr>
          <w:p w14:paraId="1A2543BE" w14:textId="77777777" w:rsidR="006C346E" w:rsidRPr="000C15A4" w:rsidRDefault="006C346E" w:rsidP="00E51A65">
            <w:pPr>
              <w:spacing w:line="480" w:lineRule="auto"/>
              <w:jc w:val="center"/>
              <w:rPr>
                <w:color w:val="000000"/>
                <w:lang w:val="en-GB"/>
              </w:rPr>
            </w:pPr>
            <w:r>
              <w:rPr>
                <w:color w:val="000000"/>
                <w:lang w:val="en-GB"/>
              </w:rPr>
              <w:t>1.41 (0.3)</w:t>
            </w:r>
          </w:p>
        </w:tc>
        <w:tc>
          <w:tcPr>
            <w:tcW w:w="1549" w:type="dxa"/>
            <w:tcBorders>
              <w:top w:val="nil"/>
              <w:left w:val="nil"/>
              <w:right w:val="nil"/>
            </w:tcBorders>
            <w:shd w:val="clear" w:color="auto" w:fill="auto"/>
            <w:vAlign w:val="center"/>
          </w:tcPr>
          <w:p w14:paraId="22A484DA" w14:textId="77777777" w:rsidR="006C346E" w:rsidRPr="000C15A4" w:rsidRDefault="006C346E" w:rsidP="00E51A65">
            <w:pPr>
              <w:spacing w:line="480" w:lineRule="auto"/>
              <w:jc w:val="center"/>
              <w:rPr>
                <w:color w:val="000000"/>
                <w:lang w:val="en-GB"/>
              </w:rPr>
            </w:pPr>
            <w:r>
              <w:rPr>
                <w:color w:val="000000"/>
                <w:lang w:val="en-GB"/>
              </w:rPr>
              <w:t>1.36 (0.3)</w:t>
            </w:r>
          </w:p>
        </w:tc>
        <w:tc>
          <w:tcPr>
            <w:tcW w:w="1417" w:type="dxa"/>
            <w:tcBorders>
              <w:top w:val="nil"/>
              <w:left w:val="nil"/>
              <w:right w:val="nil"/>
            </w:tcBorders>
            <w:shd w:val="clear" w:color="auto" w:fill="auto"/>
            <w:vAlign w:val="center"/>
          </w:tcPr>
          <w:p w14:paraId="1C8954D9" w14:textId="77777777" w:rsidR="006C346E" w:rsidRPr="000C15A4" w:rsidRDefault="006C346E" w:rsidP="00E51A65">
            <w:pPr>
              <w:spacing w:line="480" w:lineRule="auto"/>
              <w:jc w:val="center"/>
              <w:rPr>
                <w:color w:val="000000"/>
                <w:lang w:val="en-GB"/>
              </w:rPr>
            </w:pPr>
            <w:r>
              <w:rPr>
                <w:color w:val="000000"/>
                <w:lang w:val="en-GB"/>
              </w:rPr>
              <w:t>1.37 (0.3)</w:t>
            </w:r>
          </w:p>
        </w:tc>
        <w:tc>
          <w:tcPr>
            <w:tcW w:w="696" w:type="dxa"/>
            <w:tcBorders>
              <w:top w:val="nil"/>
              <w:left w:val="nil"/>
              <w:right w:val="nil"/>
            </w:tcBorders>
            <w:shd w:val="clear" w:color="auto" w:fill="auto"/>
            <w:vAlign w:val="center"/>
          </w:tcPr>
          <w:p w14:paraId="5B88BE68" w14:textId="77777777" w:rsidR="006C346E" w:rsidRPr="000C15A4" w:rsidRDefault="006C346E" w:rsidP="00E51A65">
            <w:pPr>
              <w:spacing w:line="480" w:lineRule="auto"/>
              <w:jc w:val="center"/>
              <w:rPr>
                <w:color w:val="000000"/>
                <w:lang w:val="en-GB"/>
              </w:rPr>
            </w:pPr>
            <w:r>
              <w:rPr>
                <w:color w:val="000000"/>
                <w:lang w:val="en-GB"/>
              </w:rPr>
              <w:t>&lt;.001</w:t>
            </w:r>
          </w:p>
        </w:tc>
      </w:tr>
      <w:tr w:rsidR="006C346E" w14:paraId="108EDC65" w14:textId="77777777" w:rsidTr="00E51A65">
        <w:trPr>
          <w:trHeight w:val="375"/>
        </w:trPr>
        <w:tc>
          <w:tcPr>
            <w:tcW w:w="3119" w:type="dxa"/>
            <w:tcBorders>
              <w:left w:val="nil"/>
              <w:bottom w:val="nil"/>
              <w:right w:val="nil"/>
            </w:tcBorders>
            <w:shd w:val="clear" w:color="auto" w:fill="auto"/>
            <w:noWrap/>
            <w:vAlign w:val="bottom"/>
            <w:hideMark/>
          </w:tcPr>
          <w:p w14:paraId="40DB4ED7" w14:textId="77777777" w:rsidR="006C346E" w:rsidRDefault="006C346E" w:rsidP="00E51A65">
            <w:pPr>
              <w:spacing w:line="480" w:lineRule="auto"/>
              <w:rPr>
                <w:rFonts w:ascii="Times" w:hAnsi="Times" w:cs="Times"/>
              </w:rPr>
            </w:pPr>
            <w:proofErr w:type="spellStart"/>
            <w:r>
              <w:rPr>
                <w:rFonts w:ascii="Times" w:hAnsi="Times" w:cs="Times"/>
              </w:rPr>
              <w:t>Previous</w:t>
            </w:r>
            <w:proofErr w:type="spellEnd"/>
            <w:r>
              <w:rPr>
                <w:rFonts w:ascii="Times" w:hAnsi="Times" w:cs="Times"/>
              </w:rPr>
              <w:t xml:space="preserve"> </w:t>
            </w:r>
            <w:proofErr w:type="spellStart"/>
            <w:r>
              <w:rPr>
                <w:rFonts w:ascii="Times" w:hAnsi="Times" w:cs="Times"/>
              </w:rPr>
              <w:t>quit</w:t>
            </w:r>
            <w:proofErr w:type="spellEnd"/>
            <w:r>
              <w:rPr>
                <w:rFonts w:ascii="Times" w:hAnsi="Times" w:cs="Times"/>
              </w:rPr>
              <w:t xml:space="preserve"> </w:t>
            </w:r>
            <w:proofErr w:type="spellStart"/>
            <w:r>
              <w:rPr>
                <w:rFonts w:ascii="Times" w:hAnsi="Times" w:cs="Times"/>
              </w:rPr>
              <w:t>attempts</w:t>
            </w:r>
            <w:proofErr w:type="spellEnd"/>
            <w:r>
              <w:rPr>
                <w:rFonts w:ascii="Times" w:hAnsi="Times" w:cs="Times"/>
              </w:rPr>
              <w:t xml:space="preserve"> (%) </w:t>
            </w:r>
            <w:r w:rsidRPr="002D1FD0">
              <w:rPr>
                <w:color w:val="000000"/>
                <w:vertAlign w:val="superscript"/>
              </w:rPr>
              <w:t>ad</w:t>
            </w:r>
          </w:p>
        </w:tc>
        <w:tc>
          <w:tcPr>
            <w:tcW w:w="1580" w:type="dxa"/>
            <w:tcBorders>
              <w:left w:val="nil"/>
              <w:bottom w:val="nil"/>
              <w:right w:val="nil"/>
            </w:tcBorders>
            <w:shd w:val="clear" w:color="auto" w:fill="auto"/>
            <w:noWrap/>
            <w:vAlign w:val="bottom"/>
            <w:hideMark/>
          </w:tcPr>
          <w:p w14:paraId="386C66D2" w14:textId="77777777" w:rsidR="006C346E" w:rsidRDefault="006C346E" w:rsidP="00E51A65">
            <w:pPr>
              <w:spacing w:line="480" w:lineRule="auto"/>
              <w:rPr>
                <w:rFonts w:ascii="Times" w:hAnsi="Times" w:cs="Times"/>
              </w:rPr>
            </w:pPr>
          </w:p>
        </w:tc>
        <w:tc>
          <w:tcPr>
            <w:tcW w:w="1428" w:type="dxa"/>
            <w:tcBorders>
              <w:left w:val="nil"/>
              <w:bottom w:val="nil"/>
              <w:right w:val="nil"/>
            </w:tcBorders>
            <w:shd w:val="clear" w:color="auto" w:fill="auto"/>
            <w:vAlign w:val="center"/>
            <w:hideMark/>
          </w:tcPr>
          <w:p w14:paraId="31B16287" w14:textId="77777777" w:rsidR="006C346E" w:rsidRDefault="006C346E" w:rsidP="00E51A65">
            <w:pPr>
              <w:spacing w:line="480" w:lineRule="auto"/>
              <w:jc w:val="center"/>
              <w:rPr>
                <w:sz w:val="20"/>
                <w:szCs w:val="20"/>
              </w:rPr>
            </w:pPr>
          </w:p>
        </w:tc>
        <w:tc>
          <w:tcPr>
            <w:tcW w:w="1549" w:type="dxa"/>
            <w:tcBorders>
              <w:left w:val="nil"/>
              <w:bottom w:val="nil"/>
              <w:right w:val="nil"/>
            </w:tcBorders>
            <w:shd w:val="clear" w:color="auto" w:fill="auto"/>
            <w:vAlign w:val="center"/>
            <w:hideMark/>
          </w:tcPr>
          <w:p w14:paraId="7D1D9F85" w14:textId="77777777" w:rsidR="006C346E" w:rsidRDefault="006C346E" w:rsidP="00E51A65">
            <w:pPr>
              <w:spacing w:line="480" w:lineRule="auto"/>
              <w:jc w:val="center"/>
              <w:rPr>
                <w:sz w:val="20"/>
                <w:szCs w:val="20"/>
              </w:rPr>
            </w:pPr>
          </w:p>
        </w:tc>
        <w:tc>
          <w:tcPr>
            <w:tcW w:w="1417" w:type="dxa"/>
            <w:tcBorders>
              <w:left w:val="nil"/>
              <w:bottom w:val="nil"/>
              <w:right w:val="nil"/>
            </w:tcBorders>
            <w:shd w:val="clear" w:color="auto" w:fill="auto"/>
            <w:vAlign w:val="center"/>
            <w:hideMark/>
          </w:tcPr>
          <w:p w14:paraId="747DA048" w14:textId="77777777" w:rsidR="006C346E" w:rsidRDefault="006C346E" w:rsidP="00E51A65">
            <w:pPr>
              <w:spacing w:line="480" w:lineRule="auto"/>
              <w:jc w:val="center"/>
              <w:rPr>
                <w:sz w:val="20"/>
                <w:szCs w:val="20"/>
              </w:rPr>
            </w:pPr>
          </w:p>
        </w:tc>
        <w:tc>
          <w:tcPr>
            <w:tcW w:w="696" w:type="dxa"/>
            <w:tcBorders>
              <w:left w:val="nil"/>
              <w:bottom w:val="nil"/>
              <w:right w:val="nil"/>
            </w:tcBorders>
            <w:shd w:val="clear" w:color="auto" w:fill="auto"/>
            <w:vAlign w:val="center"/>
            <w:hideMark/>
          </w:tcPr>
          <w:p w14:paraId="127AEAD0" w14:textId="77777777" w:rsidR="006C346E" w:rsidRDefault="006C346E" w:rsidP="00E51A65">
            <w:pPr>
              <w:spacing w:line="480" w:lineRule="auto"/>
              <w:jc w:val="center"/>
              <w:rPr>
                <w:sz w:val="20"/>
                <w:szCs w:val="20"/>
              </w:rPr>
            </w:pPr>
          </w:p>
        </w:tc>
      </w:tr>
      <w:tr w:rsidR="006C346E" w14:paraId="2C9541E3" w14:textId="77777777" w:rsidTr="00E51A65">
        <w:trPr>
          <w:trHeight w:val="315"/>
        </w:trPr>
        <w:tc>
          <w:tcPr>
            <w:tcW w:w="3119" w:type="dxa"/>
            <w:tcBorders>
              <w:top w:val="nil"/>
              <w:left w:val="nil"/>
              <w:bottom w:val="nil"/>
              <w:right w:val="nil"/>
            </w:tcBorders>
            <w:shd w:val="clear" w:color="auto" w:fill="auto"/>
            <w:noWrap/>
            <w:vAlign w:val="bottom"/>
            <w:hideMark/>
          </w:tcPr>
          <w:p w14:paraId="53A9D652" w14:textId="77777777" w:rsidR="006C346E" w:rsidRDefault="006C346E" w:rsidP="00E51A65">
            <w:pPr>
              <w:spacing w:line="480" w:lineRule="auto"/>
              <w:ind w:firstLineChars="100" w:firstLine="240"/>
              <w:rPr>
                <w:rFonts w:ascii="Times" w:hAnsi="Times" w:cs="Times"/>
                <w:color w:val="000000"/>
              </w:rPr>
            </w:pPr>
            <w:r>
              <w:rPr>
                <w:rFonts w:ascii="Times" w:hAnsi="Times" w:cs="Times"/>
                <w:color w:val="000000"/>
              </w:rPr>
              <w:t>None</w:t>
            </w:r>
          </w:p>
        </w:tc>
        <w:tc>
          <w:tcPr>
            <w:tcW w:w="1580" w:type="dxa"/>
            <w:tcBorders>
              <w:top w:val="nil"/>
              <w:left w:val="nil"/>
              <w:bottom w:val="nil"/>
              <w:right w:val="nil"/>
            </w:tcBorders>
            <w:shd w:val="clear" w:color="auto" w:fill="auto"/>
            <w:noWrap/>
            <w:vAlign w:val="bottom"/>
            <w:hideMark/>
          </w:tcPr>
          <w:p w14:paraId="358FFA81" w14:textId="77777777" w:rsidR="006C346E" w:rsidRDefault="006C346E" w:rsidP="00E51A65">
            <w:pPr>
              <w:spacing w:line="480" w:lineRule="auto"/>
              <w:jc w:val="center"/>
              <w:rPr>
                <w:rFonts w:ascii="Times" w:hAnsi="Times" w:cs="Times"/>
                <w:color w:val="000000"/>
              </w:rPr>
            </w:pPr>
            <w:r>
              <w:rPr>
                <w:rFonts w:ascii="Times" w:hAnsi="Times" w:cs="Times"/>
                <w:color w:val="000000"/>
              </w:rPr>
              <w:t>507 (35.9%)</w:t>
            </w:r>
          </w:p>
        </w:tc>
        <w:tc>
          <w:tcPr>
            <w:tcW w:w="1428" w:type="dxa"/>
            <w:tcBorders>
              <w:top w:val="nil"/>
              <w:left w:val="nil"/>
              <w:bottom w:val="nil"/>
              <w:right w:val="nil"/>
            </w:tcBorders>
            <w:shd w:val="clear" w:color="auto" w:fill="auto"/>
            <w:vAlign w:val="center"/>
            <w:hideMark/>
          </w:tcPr>
          <w:p w14:paraId="6F8A0439" w14:textId="77777777" w:rsidR="006C346E" w:rsidRDefault="006C346E" w:rsidP="00E51A65">
            <w:pPr>
              <w:spacing w:line="480" w:lineRule="auto"/>
              <w:jc w:val="center"/>
              <w:rPr>
                <w:color w:val="000000"/>
              </w:rPr>
            </w:pPr>
            <w:r>
              <w:rPr>
                <w:color w:val="000000"/>
              </w:rPr>
              <w:t>247 (38.2%)</w:t>
            </w:r>
          </w:p>
        </w:tc>
        <w:tc>
          <w:tcPr>
            <w:tcW w:w="1549" w:type="dxa"/>
            <w:tcBorders>
              <w:top w:val="nil"/>
              <w:left w:val="nil"/>
              <w:bottom w:val="nil"/>
              <w:right w:val="nil"/>
            </w:tcBorders>
            <w:shd w:val="clear" w:color="auto" w:fill="auto"/>
            <w:vAlign w:val="center"/>
            <w:hideMark/>
          </w:tcPr>
          <w:p w14:paraId="1CD0E4FD" w14:textId="77777777" w:rsidR="006C346E" w:rsidRDefault="006C346E" w:rsidP="00E51A65">
            <w:pPr>
              <w:spacing w:line="480" w:lineRule="auto"/>
              <w:jc w:val="center"/>
              <w:rPr>
                <w:color w:val="000000"/>
              </w:rPr>
            </w:pPr>
            <w:r>
              <w:rPr>
                <w:color w:val="000000"/>
              </w:rPr>
              <w:t>173 (34.6%)</w:t>
            </w:r>
          </w:p>
        </w:tc>
        <w:tc>
          <w:tcPr>
            <w:tcW w:w="1417" w:type="dxa"/>
            <w:tcBorders>
              <w:top w:val="nil"/>
              <w:left w:val="nil"/>
              <w:bottom w:val="nil"/>
              <w:right w:val="nil"/>
            </w:tcBorders>
            <w:shd w:val="clear" w:color="auto" w:fill="auto"/>
            <w:vAlign w:val="center"/>
            <w:hideMark/>
          </w:tcPr>
          <w:p w14:paraId="14ED6F24" w14:textId="77777777" w:rsidR="006C346E" w:rsidRDefault="006C346E" w:rsidP="00E51A65">
            <w:pPr>
              <w:spacing w:line="480" w:lineRule="auto"/>
              <w:jc w:val="center"/>
              <w:rPr>
                <w:color w:val="000000"/>
              </w:rPr>
            </w:pPr>
            <w:r>
              <w:rPr>
                <w:color w:val="000000"/>
              </w:rPr>
              <w:t>87 (32.5%)</w:t>
            </w:r>
          </w:p>
        </w:tc>
        <w:tc>
          <w:tcPr>
            <w:tcW w:w="696" w:type="dxa"/>
            <w:tcBorders>
              <w:top w:val="nil"/>
              <w:left w:val="nil"/>
              <w:bottom w:val="nil"/>
              <w:right w:val="nil"/>
            </w:tcBorders>
            <w:shd w:val="clear" w:color="auto" w:fill="auto"/>
            <w:vAlign w:val="center"/>
            <w:hideMark/>
          </w:tcPr>
          <w:p w14:paraId="73CD7883" w14:textId="77777777" w:rsidR="006C346E" w:rsidRDefault="006C346E" w:rsidP="00E51A65">
            <w:pPr>
              <w:spacing w:line="480" w:lineRule="auto"/>
              <w:jc w:val="center"/>
              <w:rPr>
                <w:color w:val="000000"/>
              </w:rPr>
            </w:pPr>
            <w:r>
              <w:rPr>
                <w:color w:val="000000"/>
              </w:rPr>
              <w:t>.10</w:t>
            </w:r>
          </w:p>
        </w:tc>
      </w:tr>
      <w:tr w:rsidR="006C346E" w14:paraId="2A76F2A6" w14:textId="77777777" w:rsidTr="00E51A65">
        <w:trPr>
          <w:trHeight w:val="315"/>
        </w:trPr>
        <w:tc>
          <w:tcPr>
            <w:tcW w:w="3119" w:type="dxa"/>
            <w:tcBorders>
              <w:top w:val="nil"/>
              <w:left w:val="nil"/>
              <w:bottom w:val="nil"/>
              <w:right w:val="nil"/>
            </w:tcBorders>
            <w:shd w:val="clear" w:color="auto" w:fill="auto"/>
            <w:noWrap/>
            <w:vAlign w:val="bottom"/>
            <w:hideMark/>
          </w:tcPr>
          <w:p w14:paraId="750D6486"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One</w:t>
            </w:r>
            <w:proofErr w:type="spellEnd"/>
          </w:p>
        </w:tc>
        <w:tc>
          <w:tcPr>
            <w:tcW w:w="1580" w:type="dxa"/>
            <w:tcBorders>
              <w:top w:val="nil"/>
              <w:left w:val="nil"/>
              <w:bottom w:val="nil"/>
              <w:right w:val="nil"/>
            </w:tcBorders>
            <w:shd w:val="clear" w:color="auto" w:fill="auto"/>
            <w:noWrap/>
            <w:vAlign w:val="bottom"/>
            <w:hideMark/>
          </w:tcPr>
          <w:p w14:paraId="1DD65853" w14:textId="77777777" w:rsidR="006C346E" w:rsidRDefault="006C346E" w:rsidP="00E51A65">
            <w:pPr>
              <w:spacing w:line="480" w:lineRule="auto"/>
              <w:jc w:val="center"/>
              <w:rPr>
                <w:rFonts w:ascii="Times" w:hAnsi="Times" w:cs="Times"/>
                <w:color w:val="000000"/>
              </w:rPr>
            </w:pPr>
            <w:r>
              <w:rPr>
                <w:rFonts w:ascii="Times" w:hAnsi="Times" w:cs="Times"/>
                <w:color w:val="000000"/>
              </w:rPr>
              <w:t>608 (43.0%)</w:t>
            </w:r>
          </w:p>
        </w:tc>
        <w:tc>
          <w:tcPr>
            <w:tcW w:w="1428" w:type="dxa"/>
            <w:tcBorders>
              <w:top w:val="nil"/>
              <w:left w:val="nil"/>
              <w:bottom w:val="nil"/>
              <w:right w:val="nil"/>
            </w:tcBorders>
            <w:shd w:val="clear" w:color="auto" w:fill="auto"/>
            <w:vAlign w:val="center"/>
            <w:hideMark/>
          </w:tcPr>
          <w:p w14:paraId="43073481" w14:textId="77777777" w:rsidR="006C346E" w:rsidRDefault="006C346E" w:rsidP="00E51A65">
            <w:pPr>
              <w:spacing w:line="480" w:lineRule="auto"/>
              <w:jc w:val="center"/>
              <w:rPr>
                <w:color w:val="000000"/>
              </w:rPr>
            </w:pPr>
            <w:r>
              <w:rPr>
                <w:color w:val="000000"/>
              </w:rPr>
              <w:t>276 (42.7%)</w:t>
            </w:r>
          </w:p>
        </w:tc>
        <w:tc>
          <w:tcPr>
            <w:tcW w:w="1549" w:type="dxa"/>
            <w:tcBorders>
              <w:top w:val="nil"/>
              <w:left w:val="nil"/>
              <w:bottom w:val="nil"/>
              <w:right w:val="nil"/>
            </w:tcBorders>
            <w:shd w:val="clear" w:color="auto" w:fill="auto"/>
            <w:vAlign w:val="center"/>
            <w:hideMark/>
          </w:tcPr>
          <w:p w14:paraId="0676163A" w14:textId="77777777" w:rsidR="006C346E" w:rsidRDefault="006C346E" w:rsidP="00E51A65">
            <w:pPr>
              <w:spacing w:line="480" w:lineRule="auto"/>
              <w:jc w:val="center"/>
              <w:rPr>
                <w:color w:val="000000"/>
              </w:rPr>
            </w:pPr>
            <w:r>
              <w:rPr>
                <w:color w:val="000000"/>
              </w:rPr>
              <w:t>205 (41.0%)</w:t>
            </w:r>
          </w:p>
        </w:tc>
        <w:tc>
          <w:tcPr>
            <w:tcW w:w="1417" w:type="dxa"/>
            <w:tcBorders>
              <w:top w:val="nil"/>
              <w:left w:val="nil"/>
              <w:bottom w:val="nil"/>
              <w:right w:val="nil"/>
            </w:tcBorders>
            <w:shd w:val="clear" w:color="auto" w:fill="auto"/>
            <w:vAlign w:val="center"/>
            <w:hideMark/>
          </w:tcPr>
          <w:p w14:paraId="7B3F6EFB" w14:textId="77777777" w:rsidR="006C346E" w:rsidRDefault="006C346E" w:rsidP="00E51A65">
            <w:pPr>
              <w:spacing w:line="480" w:lineRule="auto"/>
              <w:jc w:val="center"/>
              <w:rPr>
                <w:color w:val="000000"/>
              </w:rPr>
            </w:pPr>
            <w:r>
              <w:rPr>
                <w:color w:val="000000"/>
              </w:rPr>
              <w:t>127 (47.4%)</w:t>
            </w:r>
          </w:p>
        </w:tc>
        <w:tc>
          <w:tcPr>
            <w:tcW w:w="696" w:type="dxa"/>
            <w:tcBorders>
              <w:top w:val="nil"/>
              <w:left w:val="nil"/>
              <w:right w:val="nil"/>
            </w:tcBorders>
            <w:shd w:val="clear" w:color="auto" w:fill="auto"/>
            <w:vAlign w:val="center"/>
            <w:hideMark/>
          </w:tcPr>
          <w:p w14:paraId="4B919110" w14:textId="77777777" w:rsidR="006C346E" w:rsidRDefault="006C346E" w:rsidP="00E51A65">
            <w:pPr>
              <w:spacing w:line="480" w:lineRule="auto"/>
              <w:jc w:val="center"/>
              <w:rPr>
                <w:color w:val="000000"/>
              </w:rPr>
            </w:pPr>
          </w:p>
        </w:tc>
      </w:tr>
      <w:tr w:rsidR="006C346E" w14:paraId="7E6593D7" w14:textId="77777777" w:rsidTr="00E51A65">
        <w:trPr>
          <w:trHeight w:val="315"/>
        </w:trPr>
        <w:tc>
          <w:tcPr>
            <w:tcW w:w="3119" w:type="dxa"/>
            <w:tcBorders>
              <w:top w:val="nil"/>
              <w:left w:val="nil"/>
              <w:bottom w:val="single" w:sz="4" w:space="0" w:color="auto"/>
              <w:right w:val="nil"/>
            </w:tcBorders>
            <w:shd w:val="clear" w:color="auto" w:fill="auto"/>
            <w:noWrap/>
            <w:vAlign w:val="bottom"/>
            <w:hideMark/>
          </w:tcPr>
          <w:p w14:paraId="304789FF" w14:textId="77777777" w:rsidR="006C346E" w:rsidRDefault="006C346E" w:rsidP="00E51A65">
            <w:pPr>
              <w:spacing w:line="480" w:lineRule="auto"/>
              <w:ind w:firstLineChars="100" w:firstLine="240"/>
              <w:rPr>
                <w:rFonts w:ascii="Times" w:hAnsi="Times" w:cs="Times"/>
                <w:color w:val="000000"/>
              </w:rPr>
            </w:pPr>
            <w:proofErr w:type="spellStart"/>
            <w:r>
              <w:rPr>
                <w:rFonts w:ascii="Times" w:hAnsi="Times" w:cs="Times"/>
                <w:color w:val="000000"/>
              </w:rPr>
              <w:t>Two</w:t>
            </w:r>
            <w:proofErr w:type="spellEnd"/>
            <w:r>
              <w:rPr>
                <w:rFonts w:ascii="Times" w:hAnsi="Times" w:cs="Times"/>
                <w:color w:val="000000"/>
              </w:rPr>
              <w:t xml:space="preserve"> </w:t>
            </w:r>
            <w:proofErr w:type="spellStart"/>
            <w:r>
              <w:rPr>
                <w:rFonts w:ascii="Times" w:hAnsi="Times" w:cs="Times"/>
                <w:color w:val="000000"/>
              </w:rPr>
              <w:t>or</w:t>
            </w:r>
            <w:proofErr w:type="spellEnd"/>
            <w:r>
              <w:rPr>
                <w:rFonts w:ascii="Times" w:hAnsi="Times" w:cs="Times"/>
                <w:color w:val="000000"/>
              </w:rPr>
              <w:t xml:space="preserve"> </w:t>
            </w:r>
            <w:proofErr w:type="spellStart"/>
            <w:r>
              <w:rPr>
                <w:rFonts w:ascii="Times" w:hAnsi="Times" w:cs="Times"/>
                <w:color w:val="000000"/>
              </w:rPr>
              <w:t>more</w:t>
            </w:r>
            <w:proofErr w:type="spellEnd"/>
          </w:p>
        </w:tc>
        <w:tc>
          <w:tcPr>
            <w:tcW w:w="1580" w:type="dxa"/>
            <w:tcBorders>
              <w:top w:val="nil"/>
              <w:left w:val="nil"/>
              <w:bottom w:val="single" w:sz="4" w:space="0" w:color="auto"/>
              <w:right w:val="nil"/>
            </w:tcBorders>
            <w:shd w:val="clear" w:color="auto" w:fill="auto"/>
            <w:noWrap/>
            <w:vAlign w:val="bottom"/>
            <w:hideMark/>
          </w:tcPr>
          <w:p w14:paraId="4385BE40" w14:textId="77777777" w:rsidR="006C346E" w:rsidRDefault="006C346E" w:rsidP="00E51A65">
            <w:pPr>
              <w:spacing w:line="480" w:lineRule="auto"/>
              <w:jc w:val="center"/>
              <w:rPr>
                <w:rFonts w:ascii="Times" w:hAnsi="Times" w:cs="Times"/>
                <w:color w:val="000000"/>
              </w:rPr>
            </w:pPr>
            <w:r>
              <w:rPr>
                <w:rFonts w:ascii="Times" w:hAnsi="Times" w:cs="Times"/>
                <w:color w:val="000000"/>
              </w:rPr>
              <w:t>299 (21.1%)</w:t>
            </w:r>
          </w:p>
        </w:tc>
        <w:tc>
          <w:tcPr>
            <w:tcW w:w="1428" w:type="dxa"/>
            <w:tcBorders>
              <w:top w:val="nil"/>
              <w:left w:val="nil"/>
              <w:bottom w:val="single" w:sz="4" w:space="0" w:color="auto"/>
              <w:right w:val="nil"/>
            </w:tcBorders>
            <w:shd w:val="clear" w:color="auto" w:fill="auto"/>
            <w:vAlign w:val="center"/>
            <w:hideMark/>
          </w:tcPr>
          <w:p w14:paraId="7CE06314" w14:textId="77777777" w:rsidR="006C346E" w:rsidRDefault="006C346E" w:rsidP="00E51A65">
            <w:pPr>
              <w:spacing w:line="480" w:lineRule="auto"/>
              <w:jc w:val="center"/>
              <w:rPr>
                <w:color w:val="000000"/>
              </w:rPr>
            </w:pPr>
            <w:r>
              <w:rPr>
                <w:color w:val="000000"/>
              </w:rPr>
              <w:t>123 (19.0%)</w:t>
            </w:r>
          </w:p>
        </w:tc>
        <w:tc>
          <w:tcPr>
            <w:tcW w:w="1549" w:type="dxa"/>
            <w:tcBorders>
              <w:top w:val="nil"/>
              <w:left w:val="nil"/>
              <w:bottom w:val="single" w:sz="4" w:space="0" w:color="auto"/>
              <w:right w:val="nil"/>
            </w:tcBorders>
            <w:shd w:val="clear" w:color="auto" w:fill="auto"/>
            <w:vAlign w:val="center"/>
            <w:hideMark/>
          </w:tcPr>
          <w:p w14:paraId="4746018F" w14:textId="77777777" w:rsidR="006C346E" w:rsidRDefault="006C346E" w:rsidP="00E51A65">
            <w:pPr>
              <w:spacing w:line="480" w:lineRule="auto"/>
              <w:jc w:val="center"/>
              <w:rPr>
                <w:color w:val="000000"/>
              </w:rPr>
            </w:pPr>
            <w:r>
              <w:rPr>
                <w:color w:val="000000"/>
              </w:rPr>
              <w:t>122 (24.4%)</w:t>
            </w:r>
          </w:p>
        </w:tc>
        <w:tc>
          <w:tcPr>
            <w:tcW w:w="1417" w:type="dxa"/>
            <w:tcBorders>
              <w:top w:val="nil"/>
              <w:left w:val="nil"/>
              <w:bottom w:val="single" w:sz="4" w:space="0" w:color="auto"/>
              <w:right w:val="nil"/>
            </w:tcBorders>
            <w:shd w:val="clear" w:color="auto" w:fill="auto"/>
            <w:vAlign w:val="center"/>
            <w:hideMark/>
          </w:tcPr>
          <w:p w14:paraId="63B69833" w14:textId="77777777" w:rsidR="006C346E" w:rsidRDefault="006C346E" w:rsidP="00E51A65">
            <w:pPr>
              <w:spacing w:line="480" w:lineRule="auto"/>
              <w:jc w:val="center"/>
              <w:rPr>
                <w:color w:val="000000"/>
              </w:rPr>
            </w:pPr>
            <w:r>
              <w:rPr>
                <w:color w:val="000000"/>
              </w:rPr>
              <w:t>54 (20.1%)</w:t>
            </w:r>
          </w:p>
        </w:tc>
        <w:tc>
          <w:tcPr>
            <w:tcW w:w="696" w:type="dxa"/>
            <w:tcBorders>
              <w:top w:val="nil"/>
              <w:left w:val="nil"/>
              <w:bottom w:val="single" w:sz="4" w:space="0" w:color="auto"/>
              <w:right w:val="nil"/>
            </w:tcBorders>
            <w:shd w:val="clear" w:color="auto" w:fill="auto"/>
            <w:vAlign w:val="center"/>
            <w:hideMark/>
          </w:tcPr>
          <w:p w14:paraId="6EF9C0C7" w14:textId="77777777" w:rsidR="006C346E" w:rsidRDefault="006C346E" w:rsidP="00E51A65">
            <w:pPr>
              <w:spacing w:line="480" w:lineRule="auto"/>
              <w:jc w:val="center"/>
              <w:rPr>
                <w:color w:val="000000"/>
              </w:rPr>
            </w:pPr>
          </w:p>
        </w:tc>
      </w:tr>
    </w:tbl>
    <w:p w14:paraId="19E5A18F" w14:textId="77777777" w:rsidR="006C346E" w:rsidRDefault="006C346E" w:rsidP="006C346E">
      <w:pPr>
        <w:rPr>
          <w:lang w:val="en-GB"/>
        </w:rPr>
      </w:pPr>
      <w:proofErr w:type="gramStart"/>
      <w:r w:rsidRPr="006B6B2D">
        <w:rPr>
          <w:rFonts w:ascii="Times" w:hAnsi="Times" w:cs="Times"/>
          <w:color w:val="000000"/>
          <w:sz w:val="22"/>
          <w:szCs w:val="22"/>
          <w:vertAlign w:val="superscript"/>
          <w:lang w:val="en-GB"/>
        </w:rPr>
        <w:t>a</w:t>
      </w:r>
      <w:proofErr w:type="gramEnd"/>
      <w:r w:rsidRPr="006B6B2D">
        <w:rPr>
          <w:rFonts w:ascii="Times" w:hAnsi="Times" w:cs="Times"/>
          <w:color w:val="000000"/>
          <w:sz w:val="22"/>
          <w:szCs w:val="22"/>
          <w:vertAlign w:val="superscript"/>
          <w:lang w:val="en-GB"/>
        </w:rPr>
        <w:t xml:space="preserve"> </w:t>
      </w:r>
      <w:r w:rsidRPr="002840A4">
        <w:rPr>
          <w:i/>
          <w:lang w:val="en-GB"/>
        </w:rPr>
        <w:t>χ</w:t>
      </w:r>
      <w:r w:rsidRPr="002840A4">
        <w:rPr>
          <w:i/>
          <w:vertAlign w:val="superscript"/>
          <w:lang w:val="en-GB"/>
        </w:rPr>
        <w:t xml:space="preserve">2 </w:t>
      </w:r>
      <w:r w:rsidRPr="002840A4">
        <w:rPr>
          <w:lang w:val="en-GB"/>
        </w:rPr>
        <w:t>test</w:t>
      </w:r>
      <w:r w:rsidRPr="006B6B2D">
        <w:rPr>
          <w:rFonts w:ascii="Times" w:hAnsi="Times" w:cs="Times"/>
          <w:color w:val="000000"/>
          <w:sz w:val="22"/>
          <w:szCs w:val="22"/>
          <w:lang w:val="en-GB"/>
        </w:rPr>
        <w:t>,</w:t>
      </w:r>
      <w:r>
        <w:rPr>
          <w:rFonts w:ascii="Times" w:hAnsi="Times" w:cs="Times"/>
          <w:color w:val="000000"/>
          <w:sz w:val="22"/>
          <w:szCs w:val="22"/>
          <w:lang w:val="en-GB"/>
        </w:rPr>
        <w:t xml:space="preserve"> </w:t>
      </w:r>
      <w:r w:rsidRPr="006B6B2D">
        <w:rPr>
          <w:rFonts w:ascii="Times" w:hAnsi="Times" w:cs="Times"/>
          <w:color w:val="000000"/>
          <w:sz w:val="22"/>
          <w:szCs w:val="22"/>
          <w:vertAlign w:val="superscript"/>
          <w:lang w:val="en-GB"/>
        </w:rPr>
        <w:t>b</w:t>
      </w:r>
      <w:r>
        <w:rPr>
          <w:lang w:val="en-GB"/>
        </w:rPr>
        <w:t xml:space="preserve"> </w:t>
      </w:r>
      <w:r w:rsidRPr="00621771">
        <w:rPr>
          <w:rFonts w:ascii="Times" w:hAnsi="Times" w:cs="Times"/>
          <w:i/>
          <w:color w:val="000000"/>
          <w:sz w:val="22"/>
          <w:szCs w:val="22"/>
          <w:lang w:val="en-GB"/>
        </w:rPr>
        <w:t>F value</w:t>
      </w:r>
      <w:r w:rsidRPr="006B6B2D">
        <w:rPr>
          <w:rFonts w:ascii="Times" w:hAnsi="Times" w:cs="Times"/>
          <w:color w:val="000000"/>
          <w:sz w:val="22"/>
          <w:szCs w:val="22"/>
          <w:lang w:val="en-GB"/>
        </w:rPr>
        <w:t>,</w:t>
      </w:r>
      <w:r w:rsidRPr="006B6B2D">
        <w:rPr>
          <w:rFonts w:ascii="Times" w:hAnsi="Times" w:cs="Times"/>
          <w:color w:val="000000"/>
          <w:sz w:val="22"/>
          <w:szCs w:val="22"/>
          <w:vertAlign w:val="superscript"/>
          <w:lang w:val="en-GB"/>
        </w:rPr>
        <w:t xml:space="preserve"> c</w:t>
      </w:r>
      <w:r>
        <w:rPr>
          <w:rFonts w:ascii="Times" w:hAnsi="Times" w:cs="Times"/>
          <w:color w:val="000000"/>
          <w:sz w:val="22"/>
          <w:szCs w:val="22"/>
          <w:lang w:val="en-GB"/>
        </w:rPr>
        <w:t xml:space="preserve"> (</w:t>
      </w:r>
      <w:proofErr w:type="spellStart"/>
      <w:r>
        <w:rPr>
          <w:rFonts w:ascii="Times" w:hAnsi="Times" w:cs="Times"/>
          <w:color w:val="000000"/>
          <w:sz w:val="22"/>
          <w:szCs w:val="22"/>
          <w:lang w:val="en-GB"/>
        </w:rPr>
        <w:t>df</w:t>
      </w:r>
      <w:proofErr w:type="spellEnd"/>
      <w:r>
        <w:rPr>
          <w:rFonts w:ascii="Times" w:hAnsi="Times" w:cs="Times"/>
          <w:color w:val="000000"/>
          <w:sz w:val="22"/>
          <w:szCs w:val="22"/>
          <w:lang w:val="en-GB"/>
        </w:rPr>
        <w:t xml:space="preserve">=2), </w:t>
      </w:r>
      <w:r w:rsidRPr="006B6B2D">
        <w:rPr>
          <w:rFonts w:ascii="Times" w:hAnsi="Times" w:cs="Times"/>
          <w:color w:val="000000"/>
          <w:sz w:val="22"/>
          <w:szCs w:val="22"/>
          <w:vertAlign w:val="superscript"/>
          <w:lang w:val="en-GB"/>
        </w:rPr>
        <w:t>d</w:t>
      </w:r>
      <w:r>
        <w:rPr>
          <w:rFonts w:ascii="Times" w:hAnsi="Times" w:cs="Times"/>
          <w:color w:val="000000"/>
          <w:sz w:val="22"/>
          <w:szCs w:val="22"/>
          <w:lang w:val="en-GB"/>
        </w:rPr>
        <w:t xml:space="preserve"> (</w:t>
      </w:r>
      <w:proofErr w:type="spellStart"/>
      <w:r>
        <w:rPr>
          <w:rFonts w:ascii="Times" w:hAnsi="Times" w:cs="Times"/>
          <w:color w:val="000000"/>
          <w:sz w:val="22"/>
          <w:szCs w:val="22"/>
          <w:lang w:val="en-GB"/>
        </w:rPr>
        <w:t>df</w:t>
      </w:r>
      <w:proofErr w:type="spellEnd"/>
      <w:r>
        <w:rPr>
          <w:rFonts w:ascii="Times" w:hAnsi="Times" w:cs="Times"/>
          <w:color w:val="000000"/>
          <w:sz w:val="22"/>
          <w:szCs w:val="22"/>
          <w:lang w:val="en-GB"/>
        </w:rPr>
        <w:t>= 4</w:t>
      </w:r>
      <w:r w:rsidRPr="006B6B2D">
        <w:rPr>
          <w:rFonts w:ascii="Times" w:hAnsi="Times" w:cs="Times"/>
          <w:color w:val="000000"/>
          <w:sz w:val="22"/>
          <w:szCs w:val="22"/>
          <w:lang w:val="en-GB"/>
        </w:rPr>
        <w:t xml:space="preserve">), </w:t>
      </w:r>
      <w:r w:rsidRPr="006B6B2D">
        <w:rPr>
          <w:rFonts w:ascii="Times" w:hAnsi="Times" w:cs="Times"/>
          <w:color w:val="000000"/>
          <w:sz w:val="22"/>
          <w:szCs w:val="22"/>
          <w:vertAlign w:val="superscript"/>
          <w:lang w:val="en-GB"/>
        </w:rPr>
        <w:t>e</w:t>
      </w:r>
      <w:r w:rsidRPr="006B6B2D">
        <w:rPr>
          <w:rFonts w:ascii="Times" w:hAnsi="Times" w:cs="Times"/>
          <w:color w:val="000000"/>
          <w:sz w:val="22"/>
          <w:szCs w:val="22"/>
          <w:lang w:val="en-GB"/>
        </w:rPr>
        <w:t xml:space="preserve"> (</w:t>
      </w:r>
      <w:proofErr w:type="spellStart"/>
      <w:r w:rsidRPr="006B6B2D">
        <w:rPr>
          <w:rFonts w:ascii="Times" w:hAnsi="Times" w:cs="Times"/>
          <w:color w:val="000000"/>
          <w:sz w:val="22"/>
          <w:szCs w:val="22"/>
          <w:lang w:val="en-GB"/>
        </w:rPr>
        <w:t>df</w:t>
      </w:r>
      <w:proofErr w:type="spellEnd"/>
      <w:r w:rsidRPr="006B6B2D">
        <w:rPr>
          <w:rFonts w:ascii="Times" w:hAnsi="Times" w:cs="Times"/>
          <w:color w:val="000000"/>
          <w:sz w:val="22"/>
          <w:szCs w:val="22"/>
          <w:lang w:val="en-GB"/>
        </w:rPr>
        <w:t>=</w:t>
      </w:r>
      <w:r>
        <w:rPr>
          <w:rFonts w:ascii="Times" w:hAnsi="Times" w:cs="Times"/>
          <w:color w:val="000000"/>
          <w:sz w:val="22"/>
          <w:szCs w:val="22"/>
          <w:lang w:val="en-GB"/>
        </w:rPr>
        <w:t>6)</w:t>
      </w:r>
    </w:p>
    <w:p w14:paraId="1973A792" w14:textId="77777777" w:rsidR="006C346E" w:rsidRDefault="006C346E" w:rsidP="00321A7C">
      <w:pPr>
        <w:spacing w:line="480" w:lineRule="auto"/>
        <w:rPr>
          <w:lang w:val="en-GB"/>
        </w:rPr>
      </w:pPr>
    </w:p>
    <w:p w14:paraId="6B69B477" w14:textId="2A111984" w:rsidR="00816A2F" w:rsidRDefault="00FE1E17" w:rsidP="00C43828">
      <w:pPr>
        <w:spacing w:line="480" w:lineRule="auto"/>
        <w:rPr>
          <w:lang w:val="en-GB"/>
        </w:rPr>
      </w:pPr>
      <w:r>
        <w:rPr>
          <w:lang w:val="en-GB"/>
        </w:rPr>
        <w:t>Table 3 shows which of the</w:t>
      </w:r>
      <w:r w:rsidR="00A50322">
        <w:rPr>
          <w:lang w:val="en-GB"/>
        </w:rPr>
        <w:t xml:space="preserve"> </w:t>
      </w:r>
      <w:r w:rsidR="000D5020">
        <w:rPr>
          <w:lang w:val="en-GB"/>
        </w:rPr>
        <w:t>a</w:t>
      </w:r>
      <w:r w:rsidR="006F334A">
        <w:rPr>
          <w:lang w:val="en-GB"/>
        </w:rPr>
        <w:t>fore</w:t>
      </w:r>
      <w:r w:rsidR="000D5020">
        <w:rPr>
          <w:lang w:val="en-GB"/>
        </w:rPr>
        <w:t>-</w:t>
      </w:r>
      <w:r>
        <w:rPr>
          <w:lang w:val="en-GB"/>
        </w:rPr>
        <w:t xml:space="preserve">mentioned variables were predictive </w:t>
      </w:r>
      <w:r w:rsidR="000D5020">
        <w:rPr>
          <w:lang w:val="en-GB"/>
        </w:rPr>
        <w:t>of</w:t>
      </w:r>
      <w:r>
        <w:rPr>
          <w:lang w:val="en-GB"/>
        </w:rPr>
        <w:t xml:space="preserve"> </w:t>
      </w:r>
      <w:r w:rsidR="008A2958">
        <w:rPr>
          <w:lang w:val="en-GB"/>
        </w:rPr>
        <w:t>engagement trajectory</w:t>
      </w:r>
      <w:r w:rsidR="00D851E1">
        <w:rPr>
          <w:lang w:val="en-GB"/>
        </w:rPr>
        <w:t xml:space="preserve"> within the multivariate model</w:t>
      </w:r>
      <w:r w:rsidR="008A2958">
        <w:rPr>
          <w:lang w:val="en-GB"/>
        </w:rPr>
        <w:t xml:space="preserve">. </w:t>
      </w:r>
      <w:r w:rsidR="00BC7027">
        <w:rPr>
          <w:lang w:val="en-GB"/>
        </w:rPr>
        <w:t>Being older (</w:t>
      </w:r>
      <w:r w:rsidR="00BB46EB">
        <w:rPr>
          <w:lang w:val="en-GB"/>
        </w:rPr>
        <w:t>OR=</w:t>
      </w:r>
      <w:r w:rsidR="00D162C6">
        <w:rPr>
          <w:lang w:val="en-GB"/>
        </w:rPr>
        <w:t xml:space="preserve"> </w:t>
      </w:r>
      <w:r w:rsidR="00BB46EB">
        <w:rPr>
          <w:lang w:val="en-GB"/>
        </w:rPr>
        <w:t xml:space="preserve">1.05, </w:t>
      </w:r>
      <w:r w:rsidR="007A0C97">
        <w:rPr>
          <w:i/>
          <w:lang w:val="en-GB"/>
        </w:rPr>
        <w:t xml:space="preserve">P </w:t>
      </w:r>
      <w:r w:rsidR="00872838">
        <w:rPr>
          <w:lang w:val="en-GB"/>
        </w:rPr>
        <w:t>= .04</w:t>
      </w:r>
      <w:r w:rsidR="00BC7027">
        <w:rPr>
          <w:lang w:val="en-GB"/>
        </w:rPr>
        <w:t>) and having an immigrant background (</w:t>
      </w:r>
      <w:r w:rsidR="00BB46EB">
        <w:rPr>
          <w:lang w:val="en-GB"/>
        </w:rPr>
        <w:t>OR=</w:t>
      </w:r>
      <w:r w:rsidR="00D162C6">
        <w:rPr>
          <w:lang w:val="en-GB"/>
        </w:rPr>
        <w:t xml:space="preserve"> </w:t>
      </w:r>
      <w:r w:rsidR="00BB46EB">
        <w:rPr>
          <w:lang w:val="en-GB"/>
        </w:rPr>
        <w:t xml:space="preserve">0.76, </w:t>
      </w:r>
      <w:r w:rsidR="007A0C97">
        <w:rPr>
          <w:i/>
          <w:lang w:val="en-GB"/>
        </w:rPr>
        <w:t>P</w:t>
      </w:r>
      <w:r w:rsidR="00BC7027">
        <w:rPr>
          <w:lang w:val="en-GB"/>
        </w:rPr>
        <w:t xml:space="preserve"> </w:t>
      </w:r>
      <w:r w:rsidR="00872838">
        <w:rPr>
          <w:lang w:val="en-GB"/>
        </w:rPr>
        <w:t>= .02</w:t>
      </w:r>
      <w:r w:rsidR="00BC7027">
        <w:rPr>
          <w:lang w:val="en-GB"/>
        </w:rPr>
        <w:t xml:space="preserve">) predicted a decreasing engagement with the program compared to a stable engagement. </w:t>
      </w:r>
      <w:r w:rsidR="00DE20B8">
        <w:rPr>
          <w:lang w:val="en-GB"/>
        </w:rPr>
        <w:t xml:space="preserve">Furthermore, participants who </w:t>
      </w:r>
      <w:r w:rsidR="000D5020">
        <w:rPr>
          <w:lang w:val="en-GB"/>
        </w:rPr>
        <w:t>perceived</w:t>
      </w:r>
      <w:r w:rsidR="00DE20B8">
        <w:rPr>
          <w:lang w:val="en-GB"/>
        </w:rPr>
        <w:t xml:space="preserve"> more benefits </w:t>
      </w:r>
      <w:r w:rsidR="000D5020">
        <w:rPr>
          <w:lang w:val="en-GB"/>
        </w:rPr>
        <w:t>of</w:t>
      </w:r>
      <w:r w:rsidR="00DE20B8">
        <w:rPr>
          <w:lang w:val="en-GB"/>
        </w:rPr>
        <w:t xml:space="preserve"> quitting were more likely to </w:t>
      </w:r>
      <w:r w:rsidR="000D5020">
        <w:rPr>
          <w:lang w:val="en-GB"/>
        </w:rPr>
        <w:t xml:space="preserve">display </w:t>
      </w:r>
      <w:r w:rsidR="00DE20B8">
        <w:rPr>
          <w:lang w:val="en-GB"/>
        </w:rPr>
        <w:t>stable than decreasing engagement with the program (</w:t>
      </w:r>
      <w:r w:rsidR="00BB46EB">
        <w:rPr>
          <w:lang w:val="en-GB"/>
        </w:rPr>
        <w:t>OR=</w:t>
      </w:r>
      <w:r w:rsidR="00D162C6">
        <w:rPr>
          <w:lang w:val="en-GB"/>
        </w:rPr>
        <w:t xml:space="preserve"> </w:t>
      </w:r>
      <w:r w:rsidR="00BB46EB">
        <w:rPr>
          <w:lang w:val="en-GB"/>
        </w:rPr>
        <w:t xml:space="preserve">0.52 </w:t>
      </w:r>
      <w:r w:rsidR="00516AB6">
        <w:rPr>
          <w:i/>
          <w:lang w:val="en-GB"/>
        </w:rPr>
        <w:t>P</w:t>
      </w:r>
      <w:r w:rsidR="00BB46EB">
        <w:rPr>
          <w:lang w:val="en-GB"/>
        </w:rPr>
        <w:t xml:space="preserve"> </w:t>
      </w:r>
      <w:r w:rsidR="00872838">
        <w:rPr>
          <w:lang w:val="en-GB"/>
        </w:rPr>
        <w:t>= .007</w:t>
      </w:r>
      <w:r w:rsidR="00DE20B8">
        <w:rPr>
          <w:lang w:val="en-GB"/>
        </w:rPr>
        <w:t>).</w:t>
      </w:r>
      <w:r w:rsidR="00A50322">
        <w:rPr>
          <w:lang w:val="en-GB"/>
        </w:rPr>
        <w:t xml:space="preserve"> </w:t>
      </w:r>
      <w:r w:rsidR="00BB219D">
        <w:rPr>
          <w:lang w:val="en-GB"/>
        </w:rPr>
        <w:t xml:space="preserve">Compared to stable engagement, non-engagement was </w:t>
      </w:r>
      <w:r w:rsidR="00BB219D">
        <w:rPr>
          <w:lang w:val="en-GB"/>
        </w:rPr>
        <w:lastRenderedPageBreak/>
        <w:t xml:space="preserve">predicted </w:t>
      </w:r>
      <w:r w:rsidR="00816A2F">
        <w:rPr>
          <w:lang w:val="en-GB"/>
        </w:rPr>
        <w:t>by</w:t>
      </w:r>
      <w:r w:rsidR="00BB219D">
        <w:rPr>
          <w:lang w:val="en-GB"/>
        </w:rPr>
        <w:t xml:space="preserve"> immigra</w:t>
      </w:r>
      <w:r w:rsidR="000D5020">
        <w:rPr>
          <w:lang w:val="en-GB"/>
        </w:rPr>
        <w:t>nt</w:t>
      </w:r>
      <w:r w:rsidR="00BB219D">
        <w:rPr>
          <w:lang w:val="en-GB"/>
        </w:rPr>
        <w:t xml:space="preserve"> background (</w:t>
      </w:r>
      <w:r w:rsidR="00BB46EB">
        <w:rPr>
          <w:lang w:val="en-GB"/>
        </w:rPr>
        <w:t>OR=</w:t>
      </w:r>
      <w:r w:rsidR="00D162C6">
        <w:rPr>
          <w:lang w:val="en-GB"/>
        </w:rPr>
        <w:t xml:space="preserve"> </w:t>
      </w:r>
      <w:r w:rsidR="00BB46EB">
        <w:rPr>
          <w:lang w:val="en-GB"/>
        </w:rPr>
        <w:t xml:space="preserve">0.47, </w:t>
      </w:r>
      <w:r w:rsidR="00516AB6">
        <w:rPr>
          <w:i/>
          <w:lang w:val="en-GB"/>
        </w:rPr>
        <w:t>P</w:t>
      </w:r>
      <w:r w:rsidR="00BB46EB">
        <w:rPr>
          <w:lang w:val="en-GB"/>
        </w:rPr>
        <w:t xml:space="preserve"> &lt;.001</w:t>
      </w:r>
      <w:r w:rsidR="00BB219D">
        <w:rPr>
          <w:lang w:val="en-GB"/>
        </w:rPr>
        <w:t>) and binge</w:t>
      </w:r>
      <w:r w:rsidR="000D5020">
        <w:rPr>
          <w:lang w:val="en-GB"/>
        </w:rPr>
        <w:t>-</w:t>
      </w:r>
      <w:r w:rsidR="00BB219D">
        <w:rPr>
          <w:lang w:val="en-GB"/>
        </w:rPr>
        <w:t>drinking behaviour (</w:t>
      </w:r>
      <w:r w:rsidR="00BB46EB">
        <w:rPr>
          <w:lang w:val="en-GB"/>
        </w:rPr>
        <w:t>OR=</w:t>
      </w:r>
      <w:r w:rsidR="00D162C6">
        <w:rPr>
          <w:lang w:val="en-GB"/>
        </w:rPr>
        <w:t xml:space="preserve"> </w:t>
      </w:r>
      <w:r w:rsidR="00BB46EB">
        <w:rPr>
          <w:lang w:val="en-GB"/>
        </w:rPr>
        <w:t xml:space="preserve">1.54, </w:t>
      </w:r>
      <w:r w:rsidR="00516AB6">
        <w:rPr>
          <w:i/>
          <w:lang w:val="en-GB"/>
        </w:rPr>
        <w:t>P</w:t>
      </w:r>
      <w:r w:rsidR="00BB46EB">
        <w:rPr>
          <w:lang w:val="en-GB"/>
        </w:rPr>
        <w:t xml:space="preserve"> </w:t>
      </w:r>
      <w:r w:rsidR="009775E0">
        <w:rPr>
          <w:lang w:val="en-GB"/>
        </w:rPr>
        <w:t>= .005</w:t>
      </w:r>
      <w:r w:rsidR="00BB219D">
        <w:rPr>
          <w:lang w:val="en-GB"/>
        </w:rPr>
        <w:t xml:space="preserve">). </w:t>
      </w:r>
      <w:r w:rsidR="003D4F2B">
        <w:rPr>
          <w:lang w:val="en-GB"/>
        </w:rPr>
        <w:t xml:space="preserve">Being a stable non-engager was </w:t>
      </w:r>
      <w:r w:rsidR="00D162C6">
        <w:rPr>
          <w:lang w:val="en-GB"/>
        </w:rPr>
        <w:t xml:space="preserve">more likely </w:t>
      </w:r>
      <w:r w:rsidR="000D5020">
        <w:rPr>
          <w:lang w:val="en-GB"/>
        </w:rPr>
        <w:t xml:space="preserve">than being </w:t>
      </w:r>
      <w:r w:rsidR="003D4F2B">
        <w:rPr>
          <w:lang w:val="en-GB"/>
        </w:rPr>
        <w:t>a stable engager, when participants reported an immigra</w:t>
      </w:r>
      <w:r w:rsidR="000D5020">
        <w:rPr>
          <w:lang w:val="en-GB"/>
        </w:rPr>
        <w:t>nt</w:t>
      </w:r>
      <w:r w:rsidR="003D4F2B">
        <w:rPr>
          <w:lang w:val="en-GB"/>
        </w:rPr>
        <w:t xml:space="preserve"> background and no binge drinking </w:t>
      </w:r>
      <w:r w:rsidR="000D5020">
        <w:rPr>
          <w:lang w:val="en-GB"/>
        </w:rPr>
        <w:t>within</w:t>
      </w:r>
      <w:r w:rsidR="003D4F2B">
        <w:rPr>
          <w:lang w:val="en-GB"/>
        </w:rPr>
        <w:t xml:space="preserve"> the month previous to baseline.</w:t>
      </w:r>
    </w:p>
    <w:p w14:paraId="513D23B4" w14:textId="77777777" w:rsidR="00816A2F" w:rsidRDefault="00816A2F" w:rsidP="00C43828">
      <w:pPr>
        <w:spacing w:line="480" w:lineRule="auto"/>
        <w:rPr>
          <w:lang w:val="en-GB"/>
        </w:rPr>
      </w:pPr>
    </w:p>
    <w:tbl>
      <w:tblPr>
        <w:tblW w:w="9923" w:type="dxa"/>
        <w:tblCellMar>
          <w:left w:w="70" w:type="dxa"/>
          <w:right w:w="70" w:type="dxa"/>
        </w:tblCellMar>
        <w:tblLook w:val="04A0" w:firstRow="1" w:lastRow="0" w:firstColumn="1" w:lastColumn="0" w:noHBand="0" w:noVBand="1"/>
      </w:tblPr>
      <w:tblGrid>
        <w:gridCol w:w="5245"/>
        <w:gridCol w:w="1559"/>
        <w:gridCol w:w="993"/>
        <w:gridCol w:w="708"/>
        <w:gridCol w:w="1356"/>
        <w:gridCol w:w="62"/>
      </w:tblGrid>
      <w:tr w:rsidR="00983249" w:rsidRPr="00907407" w14:paraId="6B5D839A" w14:textId="77777777" w:rsidTr="00DC6561">
        <w:trPr>
          <w:trHeight w:val="314"/>
        </w:trPr>
        <w:tc>
          <w:tcPr>
            <w:tcW w:w="9923" w:type="dxa"/>
            <w:gridSpan w:val="6"/>
            <w:tcBorders>
              <w:top w:val="nil"/>
              <w:left w:val="nil"/>
              <w:bottom w:val="nil"/>
              <w:right w:val="nil"/>
            </w:tcBorders>
          </w:tcPr>
          <w:p w14:paraId="318F8E94" w14:textId="1BBC1C32" w:rsidR="00983249" w:rsidRPr="00726A35" w:rsidRDefault="00983249" w:rsidP="000D5020">
            <w:pPr>
              <w:spacing w:line="480" w:lineRule="auto"/>
              <w:rPr>
                <w:sz w:val="20"/>
                <w:szCs w:val="20"/>
                <w:lang w:val="en-GB"/>
              </w:rPr>
            </w:pPr>
            <w:r w:rsidRPr="00726A35">
              <w:rPr>
                <w:rFonts w:ascii="Times" w:hAnsi="Times" w:cs="Times"/>
                <w:color w:val="000000"/>
                <w:lang w:val="en-GB"/>
              </w:rPr>
              <w:t>Table 3</w:t>
            </w:r>
            <w:r w:rsidR="000D5020">
              <w:rPr>
                <w:rFonts w:ascii="Times" w:hAnsi="Times" w:cs="Times"/>
                <w:color w:val="000000"/>
                <w:lang w:val="en-GB"/>
              </w:rPr>
              <w:t>:</w:t>
            </w:r>
            <w:r w:rsidRPr="00726A35">
              <w:rPr>
                <w:rFonts w:ascii="Times" w:hAnsi="Times" w:cs="Times"/>
                <w:color w:val="000000"/>
                <w:lang w:val="en-GB"/>
              </w:rPr>
              <w:t xml:space="preserve"> Predictors of engagement trajectory </w:t>
            </w:r>
          </w:p>
        </w:tc>
      </w:tr>
      <w:tr w:rsidR="00983249" w14:paraId="52590E6E" w14:textId="77777777" w:rsidTr="00DC6561">
        <w:trPr>
          <w:gridAfter w:val="1"/>
          <w:wAfter w:w="62" w:type="dxa"/>
          <w:trHeight w:val="314"/>
        </w:trPr>
        <w:tc>
          <w:tcPr>
            <w:tcW w:w="5245" w:type="dxa"/>
            <w:tcBorders>
              <w:top w:val="single" w:sz="4" w:space="0" w:color="auto"/>
              <w:left w:val="nil"/>
              <w:bottom w:val="single" w:sz="4" w:space="0" w:color="auto"/>
              <w:right w:val="nil"/>
            </w:tcBorders>
            <w:shd w:val="clear" w:color="auto" w:fill="auto"/>
            <w:noWrap/>
            <w:vAlign w:val="bottom"/>
            <w:hideMark/>
          </w:tcPr>
          <w:p w14:paraId="7D8EA1DA" w14:textId="77777777" w:rsidR="00983249" w:rsidRPr="00726A35" w:rsidRDefault="00983249" w:rsidP="00E51A65">
            <w:pPr>
              <w:spacing w:line="480" w:lineRule="auto"/>
              <w:rPr>
                <w:rFonts w:ascii="Times" w:hAnsi="Times" w:cs="Times"/>
                <w:color w:val="000000"/>
                <w:lang w:val="en-GB"/>
              </w:rPr>
            </w:pPr>
            <w:r w:rsidRPr="00726A35">
              <w:rPr>
                <w:rFonts w:ascii="Times" w:hAnsi="Times" w:cs="Times"/>
                <w:color w:val="000000"/>
                <w:lang w:val="en-GB"/>
              </w:rPr>
              <w:t> </w:t>
            </w:r>
          </w:p>
        </w:tc>
        <w:tc>
          <w:tcPr>
            <w:tcW w:w="1559" w:type="dxa"/>
            <w:tcBorders>
              <w:top w:val="single" w:sz="4" w:space="0" w:color="auto"/>
              <w:left w:val="nil"/>
              <w:bottom w:val="single" w:sz="4" w:space="0" w:color="auto"/>
              <w:right w:val="nil"/>
            </w:tcBorders>
            <w:shd w:val="clear" w:color="auto" w:fill="auto"/>
            <w:noWrap/>
            <w:vAlign w:val="bottom"/>
            <w:hideMark/>
          </w:tcPr>
          <w:p w14:paraId="63E43296" w14:textId="77777777" w:rsidR="00983249" w:rsidRDefault="00983249" w:rsidP="00E51A65">
            <w:pPr>
              <w:spacing w:line="480" w:lineRule="auto"/>
              <w:jc w:val="center"/>
              <w:rPr>
                <w:rFonts w:ascii="Times" w:hAnsi="Times" w:cs="Times"/>
                <w:color w:val="000000"/>
              </w:rPr>
            </w:pPr>
            <w:r w:rsidRPr="00C76662">
              <w:rPr>
                <w:rFonts w:ascii="Times" w:hAnsi="Times" w:cs="Times"/>
                <w:i/>
                <w:color w:val="000000"/>
              </w:rPr>
              <w:t>β</w:t>
            </w:r>
            <w:r>
              <w:rPr>
                <w:rFonts w:ascii="Times" w:hAnsi="Times" w:cs="Times"/>
                <w:color w:val="000000"/>
              </w:rPr>
              <w:t xml:space="preserve"> (SE)</w:t>
            </w:r>
          </w:p>
        </w:tc>
        <w:tc>
          <w:tcPr>
            <w:tcW w:w="993" w:type="dxa"/>
            <w:tcBorders>
              <w:top w:val="single" w:sz="4" w:space="0" w:color="auto"/>
              <w:left w:val="nil"/>
              <w:bottom w:val="single" w:sz="4" w:space="0" w:color="auto"/>
              <w:right w:val="nil"/>
            </w:tcBorders>
          </w:tcPr>
          <w:p w14:paraId="44759137" w14:textId="77777777" w:rsidR="00983249" w:rsidRDefault="00983249" w:rsidP="00E51A65">
            <w:pPr>
              <w:spacing w:line="480" w:lineRule="auto"/>
              <w:jc w:val="center"/>
              <w:rPr>
                <w:rFonts w:ascii="Times" w:hAnsi="Times" w:cs="Times"/>
                <w:color w:val="000000"/>
              </w:rPr>
            </w:pPr>
            <w:r w:rsidRPr="00965ABD">
              <w:rPr>
                <w:rFonts w:ascii="Times" w:hAnsi="Times" w:cs="Times"/>
                <w:i/>
                <w:color w:val="000000"/>
              </w:rPr>
              <w:t>P</w:t>
            </w:r>
            <w:r>
              <w:rPr>
                <w:rFonts w:ascii="Times" w:hAnsi="Times" w:cs="Times"/>
                <w:color w:val="000000"/>
              </w:rPr>
              <w:t xml:space="preserve"> </w:t>
            </w:r>
            <w:proofErr w:type="spellStart"/>
            <w:r>
              <w:rPr>
                <w:rFonts w:ascii="Times" w:hAnsi="Times" w:cs="Times"/>
                <w:color w:val="000000"/>
              </w:rPr>
              <w:t>value</w:t>
            </w:r>
            <w:proofErr w:type="spellEnd"/>
          </w:p>
        </w:tc>
        <w:tc>
          <w:tcPr>
            <w:tcW w:w="708" w:type="dxa"/>
            <w:tcBorders>
              <w:top w:val="single" w:sz="4" w:space="0" w:color="auto"/>
              <w:left w:val="nil"/>
              <w:bottom w:val="single" w:sz="4" w:space="0" w:color="auto"/>
              <w:right w:val="nil"/>
            </w:tcBorders>
            <w:shd w:val="clear" w:color="auto" w:fill="auto"/>
            <w:noWrap/>
            <w:vAlign w:val="bottom"/>
            <w:hideMark/>
          </w:tcPr>
          <w:p w14:paraId="6D50B3F5" w14:textId="77777777" w:rsidR="00983249" w:rsidRDefault="00983249" w:rsidP="00E51A65">
            <w:pPr>
              <w:spacing w:line="480" w:lineRule="auto"/>
              <w:jc w:val="center"/>
              <w:rPr>
                <w:rFonts w:ascii="Times" w:hAnsi="Times" w:cs="Times"/>
                <w:color w:val="000000"/>
              </w:rPr>
            </w:pPr>
            <w:r>
              <w:rPr>
                <w:rFonts w:ascii="Times" w:hAnsi="Times" w:cs="Times"/>
                <w:color w:val="000000"/>
              </w:rPr>
              <w:t>OR</w:t>
            </w:r>
          </w:p>
        </w:tc>
        <w:tc>
          <w:tcPr>
            <w:tcW w:w="1356" w:type="dxa"/>
            <w:tcBorders>
              <w:top w:val="single" w:sz="4" w:space="0" w:color="auto"/>
              <w:left w:val="nil"/>
              <w:bottom w:val="single" w:sz="4" w:space="0" w:color="auto"/>
              <w:right w:val="nil"/>
            </w:tcBorders>
            <w:shd w:val="clear" w:color="auto" w:fill="auto"/>
            <w:noWrap/>
            <w:vAlign w:val="bottom"/>
            <w:hideMark/>
          </w:tcPr>
          <w:p w14:paraId="4C14BB0F" w14:textId="77777777" w:rsidR="00983249" w:rsidRDefault="00983249" w:rsidP="00E51A65">
            <w:pPr>
              <w:spacing w:line="480" w:lineRule="auto"/>
              <w:rPr>
                <w:rFonts w:ascii="Times" w:hAnsi="Times" w:cs="Times"/>
                <w:color w:val="000000"/>
              </w:rPr>
            </w:pPr>
            <w:r>
              <w:rPr>
                <w:rFonts w:ascii="Times" w:hAnsi="Times" w:cs="Times"/>
                <w:color w:val="000000"/>
              </w:rPr>
              <w:t>CI [95%]</w:t>
            </w:r>
          </w:p>
        </w:tc>
      </w:tr>
      <w:tr w:rsidR="00983249" w:rsidRPr="00907407" w14:paraId="40588423"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3D8B85F3" w14:textId="77777777" w:rsidR="00983249" w:rsidRPr="000C15A4" w:rsidRDefault="00983249" w:rsidP="00E51A65">
            <w:pPr>
              <w:spacing w:line="480" w:lineRule="auto"/>
              <w:rPr>
                <w:rFonts w:ascii="Times" w:hAnsi="Times" w:cs="Times"/>
                <w:color w:val="000000"/>
                <w:lang w:val="en-GB"/>
              </w:rPr>
            </w:pPr>
            <w:r w:rsidRPr="000C15A4">
              <w:rPr>
                <w:rFonts w:ascii="Times" w:hAnsi="Times" w:cs="Times"/>
                <w:color w:val="000000"/>
                <w:lang w:val="en-GB"/>
              </w:rPr>
              <w:t>Stable engagement (</w:t>
            </w:r>
            <w:r w:rsidRPr="000C15A4">
              <w:rPr>
                <w:rFonts w:ascii="Times" w:hAnsi="Times" w:cs="Times"/>
                <w:i/>
                <w:color w:val="000000"/>
                <w:lang w:val="en-GB"/>
              </w:rPr>
              <w:t>ref.</w:t>
            </w:r>
            <w:r w:rsidRPr="000C15A4">
              <w:rPr>
                <w:rFonts w:ascii="Times" w:hAnsi="Times" w:cs="Times"/>
                <w:color w:val="000000"/>
                <w:lang w:val="en-GB"/>
              </w:rPr>
              <w:t>) vs. Decreasing engagement</w:t>
            </w:r>
          </w:p>
        </w:tc>
        <w:tc>
          <w:tcPr>
            <w:tcW w:w="1559" w:type="dxa"/>
            <w:tcBorders>
              <w:top w:val="nil"/>
              <w:left w:val="nil"/>
              <w:bottom w:val="nil"/>
              <w:right w:val="nil"/>
            </w:tcBorders>
            <w:shd w:val="clear" w:color="auto" w:fill="auto"/>
            <w:noWrap/>
            <w:vAlign w:val="bottom"/>
            <w:hideMark/>
          </w:tcPr>
          <w:p w14:paraId="2C9E9C03" w14:textId="77777777" w:rsidR="00983249" w:rsidRPr="000C15A4" w:rsidRDefault="00983249" w:rsidP="00E51A65">
            <w:pPr>
              <w:spacing w:line="480" w:lineRule="auto"/>
              <w:rPr>
                <w:rFonts w:ascii="Times" w:hAnsi="Times" w:cs="Times"/>
                <w:color w:val="000000"/>
                <w:lang w:val="en-GB"/>
              </w:rPr>
            </w:pPr>
          </w:p>
        </w:tc>
        <w:tc>
          <w:tcPr>
            <w:tcW w:w="993" w:type="dxa"/>
            <w:tcBorders>
              <w:top w:val="nil"/>
              <w:left w:val="nil"/>
              <w:bottom w:val="nil"/>
              <w:right w:val="nil"/>
            </w:tcBorders>
          </w:tcPr>
          <w:p w14:paraId="5BD3E5AC" w14:textId="77777777" w:rsidR="00983249" w:rsidRPr="000C15A4" w:rsidRDefault="00983249" w:rsidP="00E51A65">
            <w:pPr>
              <w:spacing w:line="480" w:lineRule="auto"/>
              <w:jc w:val="center"/>
              <w:rPr>
                <w:sz w:val="20"/>
                <w:szCs w:val="20"/>
                <w:lang w:val="en-GB"/>
              </w:rPr>
            </w:pPr>
          </w:p>
        </w:tc>
        <w:tc>
          <w:tcPr>
            <w:tcW w:w="708" w:type="dxa"/>
            <w:tcBorders>
              <w:top w:val="nil"/>
              <w:left w:val="nil"/>
              <w:bottom w:val="nil"/>
              <w:right w:val="nil"/>
            </w:tcBorders>
            <w:shd w:val="clear" w:color="auto" w:fill="auto"/>
            <w:noWrap/>
            <w:vAlign w:val="bottom"/>
            <w:hideMark/>
          </w:tcPr>
          <w:p w14:paraId="6B1ED55E" w14:textId="77777777" w:rsidR="00983249" w:rsidRPr="000C15A4" w:rsidRDefault="00983249" w:rsidP="00E51A65">
            <w:pPr>
              <w:spacing w:line="480" w:lineRule="auto"/>
              <w:jc w:val="center"/>
              <w:rPr>
                <w:sz w:val="20"/>
                <w:szCs w:val="20"/>
                <w:lang w:val="en-GB"/>
              </w:rPr>
            </w:pPr>
          </w:p>
        </w:tc>
        <w:tc>
          <w:tcPr>
            <w:tcW w:w="1356" w:type="dxa"/>
            <w:tcBorders>
              <w:top w:val="nil"/>
              <w:left w:val="nil"/>
              <w:bottom w:val="nil"/>
              <w:right w:val="nil"/>
            </w:tcBorders>
            <w:shd w:val="clear" w:color="auto" w:fill="auto"/>
            <w:noWrap/>
            <w:vAlign w:val="bottom"/>
            <w:hideMark/>
          </w:tcPr>
          <w:p w14:paraId="18EC67D8" w14:textId="77777777" w:rsidR="00983249" w:rsidRPr="000C15A4" w:rsidRDefault="00983249" w:rsidP="00E51A65">
            <w:pPr>
              <w:spacing w:line="480" w:lineRule="auto"/>
              <w:jc w:val="center"/>
              <w:rPr>
                <w:sz w:val="20"/>
                <w:szCs w:val="20"/>
                <w:lang w:val="en-GB"/>
              </w:rPr>
            </w:pPr>
          </w:p>
        </w:tc>
      </w:tr>
      <w:tr w:rsidR="00983249" w14:paraId="437DEAB5"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1ED2152C" w14:textId="77777777" w:rsidR="00983249" w:rsidRDefault="00983249" w:rsidP="00E51A65">
            <w:pPr>
              <w:spacing w:line="480" w:lineRule="auto"/>
              <w:ind w:firstLineChars="100" w:firstLine="240"/>
              <w:rPr>
                <w:rFonts w:ascii="Times" w:hAnsi="Times" w:cs="Times"/>
                <w:color w:val="000000"/>
              </w:rPr>
            </w:pPr>
            <w:proofErr w:type="spellStart"/>
            <w:r>
              <w:rPr>
                <w:rFonts w:ascii="Times" w:hAnsi="Times" w:cs="Times"/>
                <w:color w:val="000000"/>
              </w:rPr>
              <w:t>Intercept</w:t>
            </w:r>
            <w:proofErr w:type="spellEnd"/>
          </w:p>
        </w:tc>
        <w:tc>
          <w:tcPr>
            <w:tcW w:w="1559" w:type="dxa"/>
            <w:tcBorders>
              <w:top w:val="nil"/>
              <w:left w:val="nil"/>
              <w:bottom w:val="nil"/>
              <w:right w:val="nil"/>
            </w:tcBorders>
            <w:shd w:val="clear" w:color="auto" w:fill="auto"/>
            <w:noWrap/>
            <w:vAlign w:val="bottom"/>
            <w:hideMark/>
          </w:tcPr>
          <w:p w14:paraId="7C830662" w14:textId="77777777" w:rsidR="00983249" w:rsidRDefault="00983249" w:rsidP="00E51A65">
            <w:pPr>
              <w:spacing w:line="480" w:lineRule="auto"/>
              <w:jc w:val="center"/>
              <w:rPr>
                <w:rFonts w:ascii="Times" w:hAnsi="Times" w:cs="Times"/>
                <w:color w:val="000000"/>
              </w:rPr>
            </w:pPr>
            <w:r>
              <w:rPr>
                <w:rFonts w:ascii="Times" w:hAnsi="Times" w:cs="Times"/>
                <w:color w:val="000000"/>
              </w:rPr>
              <w:t>-0.05 (0.57)</w:t>
            </w:r>
          </w:p>
        </w:tc>
        <w:tc>
          <w:tcPr>
            <w:tcW w:w="993" w:type="dxa"/>
            <w:tcBorders>
              <w:top w:val="nil"/>
              <w:left w:val="nil"/>
              <w:bottom w:val="nil"/>
              <w:right w:val="nil"/>
            </w:tcBorders>
          </w:tcPr>
          <w:p w14:paraId="4998CFCB" w14:textId="77777777" w:rsidR="00983249" w:rsidRDefault="00A56904" w:rsidP="00E51A65">
            <w:pPr>
              <w:spacing w:line="480" w:lineRule="auto"/>
              <w:jc w:val="center"/>
              <w:rPr>
                <w:rFonts w:ascii="Times" w:hAnsi="Times" w:cs="Times"/>
                <w:color w:val="000000"/>
              </w:rPr>
            </w:pPr>
            <w:r>
              <w:rPr>
                <w:rFonts w:ascii="Times" w:hAnsi="Times" w:cs="Times"/>
                <w:color w:val="000000"/>
              </w:rPr>
              <w:t>.93</w:t>
            </w:r>
          </w:p>
        </w:tc>
        <w:tc>
          <w:tcPr>
            <w:tcW w:w="708" w:type="dxa"/>
            <w:tcBorders>
              <w:top w:val="nil"/>
              <w:left w:val="nil"/>
              <w:bottom w:val="nil"/>
              <w:right w:val="nil"/>
            </w:tcBorders>
            <w:shd w:val="clear" w:color="auto" w:fill="auto"/>
            <w:noWrap/>
            <w:vAlign w:val="bottom"/>
            <w:hideMark/>
          </w:tcPr>
          <w:p w14:paraId="066871B2" w14:textId="77777777" w:rsidR="00983249" w:rsidRDefault="00983249" w:rsidP="00E51A65">
            <w:pPr>
              <w:spacing w:line="480" w:lineRule="auto"/>
              <w:jc w:val="center"/>
              <w:rPr>
                <w:rFonts w:ascii="Times" w:hAnsi="Times" w:cs="Times"/>
                <w:color w:val="000000"/>
              </w:rPr>
            </w:pPr>
          </w:p>
        </w:tc>
        <w:tc>
          <w:tcPr>
            <w:tcW w:w="1356" w:type="dxa"/>
            <w:tcBorders>
              <w:top w:val="nil"/>
              <w:left w:val="nil"/>
              <w:bottom w:val="nil"/>
              <w:right w:val="nil"/>
            </w:tcBorders>
            <w:shd w:val="clear" w:color="auto" w:fill="auto"/>
            <w:noWrap/>
            <w:vAlign w:val="bottom"/>
            <w:hideMark/>
          </w:tcPr>
          <w:p w14:paraId="6FDE700F" w14:textId="77777777" w:rsidR="00983249" w:rsidRDefault="00983249" w:rsidP="00E51A65">
            <w:pPr>
              <w:spacing w:line="480" w:lineRule="auto"/>
              <w:jc w:val="center"/>
              <w:rPr>
                <w:sz w:val="20"/>
                <w:szCs w:val="20"/>
              </w:rPr>
            </w:pPr>
          </w:p>
        </w:tc>
      </w:tr>
      <w:tr w:rsidR="00983249" w14:paraId="26F02208"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50A1F3F3" w14:textId="77777777" w:rsidR="00983249" w:rsidRDefault="00983249" w:rsidP="00E51A65">
            <w:pPr>
              <w:spacing w:line="480" w:lineRule="auto"/>
              <w:ind w:firstLineChars="100" w:firstLine="240"/>
              <w:rPr>
                <w:rFonts w:ascii="Times" w:hAnsi="Times" w:cs="Times"/>
                <w:color w:val="000000"/>
              </w:rPr>
            </w:pPr>
            <w:proofErr w:type="spellStart"/>
            <w:r>
              <w:rPr>
                <w:rFonts w:ascii="Times" w:hAnsi="Times" w:cs="Times"/>
                <w:color w:val="000000"/>
              </w:rPr>
              <w:t>age</w:t>
            </w:r>
            <w:proofErr w:type="spellEnd"/>
          </w:p>
        </w:tc>
        <w:tc>
          <w:tcPr>
            <w:tcW w:w="1559" w:type="dxa"/>
            <w:tcBorders>
              <w:top w:val="nil"/>
              <w:left w:val="nil"/>
              <w:bottom w:val="nil"/>
              <w:right w:val="nil"/>
            </w:tcBorders>
            <w:shd w:val="clear" w:color="auto" w:fill="auto"/>
            <w:noWrap/>
            <w:vAlign w:val="bottom"/>
            <w:hideMark/>
          </w:tcPr>
          <w:p w14:paraId="70189514" w14:textId="77777777" w:rsidR="00983249" w:rsidRDefault="006356A9" w:rsidP="00E51A65">
            <w:pPr>
              <w:spacing w:line="480" w:lineRule="auto"/>
              <w:jc w:val="center"/>
              <w:rPr>
                <w:rFonts w:ascii="Times" w:hAnsi="Times" w:cs="Times"/>
                <w:color w:val="000000"/>
              </w:rPr>
            </w:pPr>
            <w:r>
              <w:rPr>
                <w:rFonts w:ascii="Times" w:hAnsi="Times" w:cs="Times"/>
                <w:color w:val="000000"/>
              </w:rPr>
              <w:t>0.05 (0.02)</w:t>
            </w:r>
          </w:p>
        </w:tc>
        <w:tc>
          <w:tcPr>
            <w:tcW w:w="993" w:type="dxa"/>
            <w:tcBorders>
              <w:top w:val="nil"/>
              <w:left w:val="nil"/>
              <w:bottom w:val="nil"/>
              <w:right w:val="nil"/>
            </w:tcBorders>
          </w:tcPr>
          <w:p w14:paraId="7A1C1E5E" w14:textId="77777777" w:rsidR="00983249" w:rsidRDefault="006356A9" w:rsidP="00E51A65">
            <w:pPr>
              <w:spacing w:line="480" w:lineRule="auto"/>
              <w:jc w:val="center"/>
              <w:rPr>
                <w:rFonts w:ascii="Times" w:hAnsi="Times" w:cs="Times"/>
                <w:color w:val="000000"/>
              </w:rPr>
            </w:pPr>
            <w:r>
              <w:rPr>
                <w:rFonts w:ascii="Times" w:hAnsi="Times" w:cs="Times"/>
                <w:color w:val="000000"/>
              </w:rPr>
              <w:t>.04</w:t>
            </w:r>
          </w:p>
        </w:tc>
        <w:tc>
          <w:tcPr>
            <w:tcW w:w="708" w:type="dxa"/>
            <w:tcBorders>
              <w:top w:val="nil"/>
              <w:left w:val="nil"/>
              <w:bottom w:val="nil"/>
              <w:right w:val="nil"/>
            </w:tcBorders>
            <w:shd w:val="clear" w:color="auto" w:fill="auto"/>
            <w:noWrap/>
            <w:vAlign w:val="bottom"/>
            <w:hideMark/>
          </w:tcPr>
          <w:p w14:paraId="23C5F0F7" w14:textId="77777777" w:rsidR="00983249" w:rsidRDefault="00983249" w:rsidP="00E51A65">
            <w:pPr>
              <w:spacing w:line="480" w:lineRule="auto"/>
              <w:jc w:val="center"/>
              <w:rPr>
                <w:rFonts w:ascii="Times" w:hAnsi="Times" w:cs="Times"/>
                <w:color w:val="000000"/>
              </w:rPr>
            </w:pPr>
            <w:r>
              <w:rPr>
                <w:rFonts w:ascii="Times" w:hAnsi="Times" w:cs="Times"/>
                <w:color w:val="000000"/>
              </w:rPr>
              <w:t>1.05</w:t>
            </w:r>
          </w:p>
        </w:tc>
        <w:tc>
          <w:tcPr>
            <w:tcW w:w="1356" w:type="dxa"/>
            <w:tcBorders>
              <w:top w:val="nil"/>
              <w:left w:val="nil"/>
              <w:bottom w:val="nil"/>
              <w:right w:val="nil"/>
            </w:tcBorders>
            <w:shd w:val="clear" w:color="auto" w:fill="auto"/>
            <w:noWrap/>
            <w:vAlign w:val="bottom"/>
            <w:hideMark/>
          </w:tcPr>
          <w:p w14:paraId="7BB9EE19" w14:textId="77777777" w:rsidR="00983249" w:rsidRDefault="00983249" w:rsidP="00E51A65">
            <w:pPr>
              <w:spacing w:line="480" w:lineRule="auto"/>
              <w:rPr>
                <w:rFonts w:ascii="Times" w:hAnsi="Times" w:cs="Times"/>
                <w:color w:val="000000"/>
              </w:rPr>
            </w:pPr>
            <w:r>
              <w:rPr>
                <w:rFonts w:ascii="Times" w:hAnsi="Times" w:cs="Times"/>
                <w:color w:val="000000"/>
              </w:rPr>
              <w:t>[1.00</w:t>
            </w:r>
            <w:r w:rsidR="00A56904">
              <w:rPr>
                <w:rFonts w:ascii="Times" w:hAnsi="Times" w:cs="Times"/>
                <w:color w:val="000000"/>
              </w:rPr>
              <w:t>3</w:t>
            </w:r>
            <w:r>
              <w:rPr>
                <w:rFonts w:ascii="Times" w:hAnsi="Times" w:cs="Times"/>
                <w:color w:val="000000"/>
              </w:rPr>
              <w:t>;1.09]</w:t>
            </w:r>
          </w:p>
        </w:tc>
      </w:tr>
      <w:tr w:rsidR="00983249" w:rsidRPr="00FE414A" w14:paraId="00782A7F"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65564493" w14:textId="77777777" w:rsidR="00983249" w:rsidRPr="00FE414A" w:rsidRDefault="00983249" w:rsidP="00E51A65">
            <w:pPr>
              <w:spacing w:line="480" w:lineRule="auto"/>
              <w:ind w:firstLineChars="100" w:firstLine="240"/>
              <w:rPr>
                <w:rFonts w:ascii="Times" w:hAnsi="Times" w:cs="Times"/>
                <w:color w:val="000000"/>
                <w:lang w:val="en-GB"/>
              </w:rPr>
            </w:pPr>
            <w:r w:rsidRPr="00FE414A">
              <w:rPr>
                <w:rFonts w:ascii="Times" w:hAnsi="Times" w:cs="Times"/>
                <w:color w:val="000000"/>
                <w:lang w:val="en-GB"/>
              </w:rPr>
              <w:t>immigration background (</w:t>
            </w:r>
            <w:r w:rsidRPr="00FE414A">
              <w:rPr>
                <w:rFonts w:ascii="Times" w:hAnsi="Times" w:cs="Times"/>
                <w:i/>
                <w:color w:val="000000"/>
                <w:lang w:val="en-GB"/>
              </w:rPr>
              <w:t>ref.</w:t>
            </w:r>
            <w:r w:rsidRPr="00FE414A">
              <w:rPr>
                <w:rFonts w:ascii="Times" w:hAnsi="Times" w:cs="Times"/>
                <w:color w:val="000000"/>
                <w:lang w:val="en-GB"/>
              </w:rPr>
              <w:t xml:space="preserve"> </w:t>
            </w:r>
            <w:r>
              <w:rPr>
                <w:rFonts w:ascii="Times" w:hAnsi="Times" w:cs="Times"/>
                <w:color w:val="000000"/>
                <w:lang w:val="en-GB"/>
              </w:rPr>
              <w:t>yes)</w:t>
            </w:r>
          </w:p>
        </w:tc>
        <w:tc>
          <w:tcPr>
            <w:tcW w:w="1559" w:type="dxa"/>
            <w:tcBorders>
              <w:top w:val="nil"/>
              <w:left w:val="nil"/>
              <w:bottom w:val="nil"/>
              <w:right w:val="nil"/>
            </w:tcBorders>
            <w:shd w:val="clear" w:color="auto" w:fill="auto"/>
            <w:noWrap/>
            <w:vAlign w:val="bottom"/>
            <w:hideMark/>
          </w:tcPr>
          <w:p w14:paraId="3991BA08" w14:textId="77777777" w:rsidR="00983249" w:rsidRPr="00FE414A" w:rsidRDefault="00A56904" w:rsidP="00E51A65">
            <w:pPr>
              <w:spacing w:line="480" w:lineRule="auto"/>
              <w:jc w:val="center"/>
              <w:rPr>
                <w:rFonts w:ascii="Times" w:hAnsi="Times" w:cs="Times"/>
                <w:color w:val="000000"/>
                <w:lang w:val="en-GB"/>
              </w:rPr>
            </w:pPr>
            <w:r>
              <w:rPr>
                <w:rFonts w:ascii="Times" w:hAnsi="Times" w:cs="Times"/>
                <w:color w:val="000000"/>
                <w:lang w:val="en-GB"/>
              </w:rPr>
              <w:t>-0.28 (0.12)</w:t>
            </w:r>
          </w:p>
        </w:tc>
        <w:tc>
          <w:tcPr>
            <w:tcW w:w="993" w:type="dxa"/>
            <w:tcBorders>
              <w:top w:val="nil"/>
              <w:left w:val="nil"/>
              <w:bottom w:val="nil"/>
              <w:right w:val="nil"/>
            </w:tcBorders>
          </w:tcPr>
          <w:p w14:paraId="269A9DB3" w14:textId="77777777" w:rsidR="00983249" w:rsidRPr="00FE414A" w:rsidRDefault="00A56904" w:rsidP="00E51A65">
            <w:pPr>
              <w:spacing w:line="480" w:lineRule="auto"/>
              <w:jc w:val="center"/>
              <w:rPr>
                <w:rFonts w:ascii="Times" w:hAnsi="Times" w:cs="Times"/>
                <w:color w:val="000000"/>
                <w:lang w:val="en-GB"/>
              </w:rPr>
            </w:pPr>
            <w:r>
              <w:rPr>
                <w:rFonts w:ascii="Times" w:hAnsi="Times" w:cs="Times"/>
                <w:color w:val="000000"/>
                <w:lang w:val="en-GB"/>
              </w:rPr>
              <w:t>.02</w:t>
            </w:r>
          </w:p>
        </w:tc>
        <w:tc>
          <w:tcPr>
            <w:tcW w:w="708" w:type="dxa"/>
            <w:tcBorders>
              <w:top w:val="nil"/>
              <w:left w:val="nil"/>
              <w:bottom w:val="nil"/>
              <w:right w:val="nil"/>
            </w:tcBorders>
            <w:shd w:val="clear" w:color="auto" w:fill="auto"/>
            <w:noWrap/>
            <w:vAlign w:val="bottom"/>
            <w:hideMark/>
          </w:tcPr>
          <w:p w14:paraId="14A098DF" w14:textId="77777777" w:rsidR="00983249" w:rsidRPr="00FE414A" w:rsidRDefault="00A56904" w:rsidP="00E51A65">
            <w:pPr>
              <w:spacing w:line="480" w:lineRule="auto"/>
              <w:jc w:val="center"/>
              <w:rPr>
                <w:rFonts w:ascii="Times" w:hAnsi="Times" w:cs="Times"/>
                <w:color w:val="000000"/>
                <w:lang w:val="en-GB"/>
              </w:rPr>
            </w:pPr>
            <w:r>
              <w:rPr>
                <w:rFonts w:ascii="Times" w:hAnsi="Times" w:cs="Times"/>
                <w:color w:val="000000"/>
                <w:lang w:val="en-GB"/>
              </w:rPr>
              <w:t>0.76</w:t>
            </w:r>
          </w:p>
        </w:tc>
        <w:tc>
          <w:tcPr>
            <w:tcW w:w="1356" w:type="dxa"/>
            <w:tcBorders>
              <w:top w:val="nil"/>
              <w:left w:val="nil"/>
              <w:bottom w:val="nil"/>
              <w:right w:val="nil"/>
            </w:tcBorders>
            <w:shd w:val="clear" w:color="auto" w:fill="auto"/>
            <w:noWrap/>
            <w:vAlign w:val="bottom"/>
            <w:hideMark/>
          </w:tcPr>
          <w:p w14:paraId="7015695E" w14:textId="77777777" w:rsidR="00983249" w:rsidRPr="00FE414A" w:rsidRDefault="00A56904" w:rsidP="00E51A65">
            <w:pPr>
              <w:spacing w:line="480" w:lineRule="auto"/>
              <w:rPr>
                <w:rFonts w:ascii="Times" w:hAnsi="Times" w:cs="Times"/>
                <w:color w:val="000000"/>
                <w:lang w:val="en-GB"/>
              </w:rPr>
            </w:pPr>
            <w:r>
              <w:rPr>
                <w:rFonts w:ascii="Times" w:hAnsi="Times" w:cs="Times"/>
                <w:color w:val="000000"/>
                <w:lang w:val="en-GB"/>
              </w:rPr>
              <w:t>[0.59</w:t>
            </w:r>
            <w:r w:rsidR="00983249" w:rsidRPr="00FE414A">
              <w:rPr>
                <w:rFonts w:ascii="Times" w:hAnsi="Times" w:cs="Times"/>
                <w:color w:val="000000"/>
                <w:lang w:val="en-GB"/>
              </w:rPr>
              <w:t>;0.96]</w:t>
            </w:r>
          </w:p>
        </w:tc>
      </w:tr>
      <w:tr w:rsidR="00983249" w:rsidRPr="00FE414A" w14:paraId="135C3E49"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1D02FA9E" w14:textId="77777777" w:rsidR="00983249" w:rsidRPr="00FE414A" w:rsidRDefault="00983249" w:rsidP="00E51A65">
            <w:pPr>
              <w:spacing w:line="480" w:lineRule="auto"/>
              <w:ind w:firstLineChars="100" w:firstLine="240"/>
              <w:rPr>
                <w:rFonts w:ascii="Times" w:hAnsi="Times" w:cs="Times"/>
                <w:color w:val="000000"/>
                <w:lang w:val="en-GB"/>
              </w:rPr>
            </w:pPr>
            <w:r w:rsidRPr="00FE414A">
              <w:rPr>
                <w:rFonts w:ascii="Times" w:hAnsi="Times" w:cs="Times"/>
                <w:color w:val="000000"/>
                <w:lang w:val="en-GB"/>
              </w:rPr>
              <w:t>binge drinking</w:t>
            </w:r>
            <w:r>
              <w:rPr>
                <w:rFonts w:ascii="Times" w:hAnsi="Times" w:cs="Times"/>
                <w:color w:val="000000"/>
                <w:lang w:val="en-GB"/>
              </w:rPr>
              <w:t xml:space="preserve"> (</w:t>
            </w:r>
            <w:r w:rsidRPr="00FE414A">
              <w:rPr>
                <w:rFonts w:ascii="Times" w:hAnsi="Times" w:cs="Times"/>
                <w:i/>
                <w:color w:val="000000"/>
                <w:lang w:val="en-GB"/>
              </w:rPr>
              <w:t>ref.</w:t>
            </w:r>
            <w:r>
              <w:rPr>
                <w:rFonts w:ascii="Times" w:hAnsi="Times" w:cs="Times"/>
                <w:color w:val="000000"/>
                <w:lang w:val="en-GB"/>
              </w:rPr>
              <w:t xml:space="preserve"> yes)</w:t>
            </w:r>
          </w:p>
        </w:tc>
        <w:tc>
          <w:tcPr>
            <w:tcW w:w="1559" w:type="dxa"/>
            <w:tcBorders>
              <w:top w:val="nil"/>
              <w:left w:val="nil"/>
              <w:bottom w:val="nil"/>
              <w:right w:val="nil"/>
            </w:tcBorders>
            <w:shd w:val="clear" w:color="auto" w:fill="auto"/>
            <w:noWrap/>
            <w:vAlign w:val="bottom"/>
            <w:hideMark/>
          </w:tcPr>
          <w:p w14:paraId="165546E2" w14:textId="77777777" w:rsidR="00983249" w:rsidRPr="00FE414A" w:rsidRDefault="00983249" w:rsidP="00E51A65">
            <w:pPr>
              <w:spacing w:line="480" w:lineRule="auto"/>
              <w:jc w:val="center"/>
              <w:rPr>
                <w:rFonts w:ascii="Times" w:hAnsi="Times" w:cs="Times"/>
                <w:color w:val="000000"/>
                <w:lang w:val="en-GB"/>
              </w:rPr>
            </w:pPr>
            <w:r w:rsidRPr="00FE414A">
              <w:rPr>
                <w:rFonts w:ascii="Times" w:hAnsi="Times" w:cs="Times"/>
                <w:color w:val="000000"/>
                <w:lang w:val="en-GB"/>
              </w:rPr>
              <w:t>0.01 (0.13)</w:t>
            </w:r>
          </w:p>
        </w:tc>
        <w:tc>
          <w:tcPr>
            <w:tcW w:w="993" w:type="dxa"/>
            <w:tcBorders>
              <w:top w:val="nil"/>
              <w:left w:val="nil"/>
              <w:bottom w:val="nil"/>
              <w:right w:val="nil"/>
            </w:tcBorders>
          </w:tcPr>
          <w:p w14:paraId="608D1604" w14:textId="77777777" w:rsidR="00983249" w:rsidRPr="00FE414A" w:rsidRDefault="00A56904" w:rsidP="00E51A65">
            <w:pPr>
              <w:spacing w:line="480" w:lineRule="auto"/>
              <w:jc w:val="center"/>
              <w:rPr>
                <w:rFonts w:ascii="Times" w:hAnsi="Times" w:cs="Times"/>
                <w:color w:val="000000"/>
                <w:lang w:val="en-GB"/>
              </w:rPr>
            </w:pPr>
            <w:r>
              <w:rPr>
                <w:rFonts w:ascii="Times" w:hAnsi="Times" w:cs="Times"/>
                <w:color w:val="000000"/>
                <w:lang w:val="en-GB"/>
              </w:rPr>
              <w:t>.98</w:t>
            </w:r>
          </w:p>
        </w:tc>
        <w:tc>
          <w:tcPr>
            <w:tcW w:w="708" w:type="dxa"/>
            <w:tcBorders>
              <w:top w:val="nil"/>
              <w:left w:val="nil"/>
              <w:bottom w:val="nil"/>
              <w:right w:val="nil"/>
            </w:tcBorders>
            <w:shd w:val="clear" w:color="auto" w:fill="auto"/>
            <w:noWrap/>
            <w:vAlign w:val="bottom"/>
            <w:hideMark/>
          </w:tcPr>
          <w:p w14:paraId="1F928BB5" w14:textId="77777777" w:rsidR="00983249" w:rsidRPr="00FE414A" w:rsidRDefault="00983249" w:rsidP="00E51A65">
            <w:pPr>
              <w:spacing w:line="480" w:lineRule="auto"/>
              <w:jc w:val="center"/>
              <w:rPr>
                <w:rFonts w:ascii="Times" w:hAnsi="Times" w:cs="Times"/>
                <w:color w:val="000000"/>
                <w:lang w:val="en-GB"/>
              </w:rPr>
            </w:pPr>
            <w:r w:rsidRPr="00FE414A">
              <w:rPr>
                <w:rFonts w:ascii="Times" w:hAnsi="Times" w:cs="Times"/>
                <w:color w:val="000000"/>
                <w:lang w:val="en-GB"/>
              </w:rPr>
              <w:t>1.00</w:t>
            </w:r>
          </w:p>
        </w:tc>
        <w:tc>
          <w:tcPr>
            <w:tcW w:w="1356" w:type="dxa"/>
            <w:tcBorders>
              <w:top w:val="nil"/>
              <w:left w:val="nil"/>
              <w:bottom w:val="nil"/>
              <w:right w:val="nil"/>
            </w:tcBorders>
            <w:shd w:val="clear" w:color="auto" w:fill="auto"/>
            <w:noWrap/>
            <w:vAlign w:val="bottom"/>
            <w:hideMark/>
          </w:tcPr>
          <w:p w14:paraId="54065E4B" w14:textId="77777777" w:rsidR="00983249" w:rsidRPr="00FE414A" w:rsidRDefault="00983249" w:rsidP="00E51A65">
            <w:pPr>
              <w:spacing w:line="480" w:lineRule="auto"/>
              <w:rPr>
                <w:rFonts w:ascii="Times" w:hAnsi="Times" w:cs="Times"/>
                <w:color w:val="000000"/>
                <w:lang w:val="en-GB"/>
              </w:rPr>
            </w:pPr>
            <w:r w:rsidRPr="00FE414A">
              <w:rPr>
                <w:rFonts w:ascii="Times" w:hAnsi="Times" w:cs="Times"/>
                <w:color w:val="000000"/>
                <w:lang w:val="en-GB"/>
              </w:rPr>
              <w:t>[0.78;1.30]</w:t>
            </w:r>
          </w:p>
        </w:tc>
      </w:tr>
      <w:tr w:rsidR="00983249" w14:paraId="7730E1DD" w14:textId="77777777" w:rsidTr="00DC6561">
        <w:trPr>
          <w:gridAfter w:val="1"/>
          <w:wAfter w:w="62" w:type="dxa"/>
          <w:trHeight w:val="314"/>
        </w:trPr>
        <w:tc>
          <w:tcPr>
            <w:tcW w:w="5245" w:type="dxa"/>
            <w:tcBorders>
              <w:top w:val="nil"/>
              <w:left w:val="nil"/>
              <w:bottom w:val="single" w:sz="4" w:space="0" w:color="auto"/>
              <w:right w:val="nil"/>
            </w:tcBorders>
            <w:shd w:val="clear" w:color="auto" w:fill="auto"/>
            <w:noWrap/>
            <w:vAlign w:val="bottom"/>
            <w:hideMark/>
          </w:tcPr>
          <w:p w14:paraId="54CE4498" w14:textId="77777777" w:rsidR="00983249" w:rsidRPr="00FE414A" w:rsidRDefault="00983249" w:rsidP="00E51A65">
            <w:pPr>
              <w:spacing w:line="480" w:lineRule="auto"/>
              <w:ind w:firstLineChars="100" w:firstLine="240"/>
              <w:rPr>
                <w:rFonts w:ascii="Times" w:hAnsi="Times" w:cs="Times"/>
                <w:color w:val="000000"/>
                <w:lang w:val="en-GB"/>
              </w:rPr>
            </w:pPr>
            <w:r w:rsidRPr="00FE414A">
              <w:rPr>
                <w:rFonts w:ascii="Times" w:hAnsi="Times" w:cs="Times"/>
                <w:color w:val="000000"/>
                <w:lang w:val="en-GB"/>
              </w:rPr>
              <w:t>benefits of quitting smoking</w:t>
            </w:r>
          </w:p>
        </w:tc>
        <w:tc>
          <w:tcPr>
            <w:tcW w:w="1559" w:type="dxa"/>
            <w:tcBorders>
              <w:top w:val="nil"/>
              <w:left w:val="nil"/>
              <w:bottom w:val="single" w:sz="4" w:space="0" w:color="auto"/>
              <w:right w:val="nil"/>
            </w:tcBorders>
            <w:shd w:val="clear" w:color="auto" w:fill="auto"/>
            <w:noWrap/>
            <w:vAlign w:val="bottom"/>
            <w:hideMark/>
          </w:tcPr>
          <w:p w14:paraId="082A5F67" w14:textId="77777777" w:rsidR="00983249" w:rsidRDefault="00983249" w:rsidP="00E51A65">
            <w:pPr>
              <w:spacing w:line="480" w:lineRule="auto"/>
              <w:jc w:val="center"/>
              <w:rPr>
                <w:rFonts w:ascii="Times" w:hAnsi="Times" w:cs="Times"/>
                <w:color w:val="000000"/>
              </w:rPr>
            </w:pPr>
            <w:r w:rsidRPr="00FE414A">
              <w:rPr>
                <w:rFonts w:ascii="Times" w:hAnsi="Times" w:cs="Times"/>
                <w:color w:val="000000"/>
                <w:lang w:val="en-GB"/>
              </w:rPr>
              <w:t>-0.66 (0.24</w:t>
            </w:r>
            <w:r w:rsidR="00A56904">
              <w:rPr>
                <w:rFonts w:ascii="Times" w:hAnsi="Times" w:cs="Times"/>
                <w:color w:val="000000"/>
              </w:rPr>
              <w:t>)</w:t>
            </w:r>
          </w:p>
        </w:tc>
        <w:tc>
          <w:tcPr>
            <w:tcW w:w="993" w:type="dxa"/>
            <w:tcBorders>
              <w:top w:val="nil"/>
              <w:left w:val="nil"/>
              <w:bottom w:val="single" w:sz="4" w:space="0" w:color="auto"/>
              <w:right w:val="nil"/>
            </w:tcBorders>
          </w:tcPr>
          <w:p w14:paraId="5C9AA046" w14:textId="77777777" w:rsidR="00983249" w:rsidRDefault="00A56904" w:rsidP="00E51A65">
            <w:pPr>
              <w:spacing w:line="480" w:lineRule="auto"/>
              <w:jc w:val="center"/>
              <w:rPr>
                <w:rFonts w:ascii="Times" w:hAnsi="Times" w:cs="Times"/>
                <w:color w:val="000000"/>
              </w:rPr>
            </w:pPr>
            <w:r>
              <w:rPr>
                <w:rFonts w:ascii="Times" w:hAnsi="Times" w:cs="Times"/>
                <w:color w:val="000000"/>
              </w:rPr>
              <w:t>.007</w:t>
            </w:r>
          </w:p>
        </w:tc>
        <w:tc>
          <w:tcPr>
            <w:tcW w:w="708" w:type="dxa"/>
            <w:tcBorders>
              <w:top w:val="nil"/>
              <w:left w:val="nil"/>
              <w:bottom w:val="single" w:sz="4" w:space="0" w:color="auto"/>
              <w:right w:val="nil"/>
            </w:tcBorders>
            <w:shd w:val="clear" w:color="auto" w:fill="auto"/>
            <w:noWrap/>
            <w:vAlign w:val="bottom"/>
            <w:hideMark/>
          </w:tcPr>
          <w:p w14:paraId="33037D90" w14:textId="77777777" w:rsidR="00983249" w:rsidRDefault="00983249" w:rsidP="00E51A65">
            <w:pPr>
              <w:spacing w:line="480" w:lineRule="auto"/>
              <w:jc w:val="center"/>
              <w:rPr>
                <w:rFonts w:ascii="Times" w:hAnsi="Times" w:cs="Times"/>
                <w:color w:val="000000"/>
              </w:rPr>
            </w:pPr>
            <w:r>
              <w:rPr>
                <w:rFonts w:ascii="Times" w:hAnsi="Times" w:cs="Times"/>
                <w:color w:val="000000"/>
              </w:rPr>
              <w:t>0.52</w:t>
            </w:r>
          </w:p>
        </w:tc>
        <w:tc>
          <w:tcPr>
            <w:tcW w:w="1356" w:type="dxa"/>
            <w:tcBorders>
              <w:top w:val="nil"/>
              <w:left w:val="nil"/>
              <w:bottom w:val="single" w:sz="4" w:space="0" w:color="auto"/>
              <w:right w:val="nil"/>
            </w:tcBorders>
            <w:shd w:val="clear" w:color="auto" w:fill="auto"/>
            <w:noWrap/>
            <w:vAlign w:val="bottom"/>
            <w:hideMark/>
          </w:tcPr>
          <w:p w14:paraId="27F4D8E0" w14:textId="77777777" w:rsidR="00983249" w:rsidRDefault="00983249" w:rsidP="00E51A65">
            <w:pPr>
              <w:spacing w:line="480" w:lineRule="auto"/>
              <w:rPr>
                <w:rFonts w:ascii="Times" w:hAnsi="Times" w:cs="Times"/>
                <w:color w:val="000000"/>
              </w:rPr>
            </w:pPr>
            <w:r>
              <w:rPr>
                <w:rFonts w:ascii="Times" w:hAnsi="Times" w:cs="Times"/>
                <w:color w:val="000000"/>
              </w:rPr>
              <w:t>[0.32;0.84]</w:t>
            </w:r>
          </w:p>
        </w:tc>
      </w:tr>
      <w:tr w:rsidR="00983249" w:rsidRPr="00907407" w14:paraId="405645B5"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2955C8FB" w14:textId="77777777" w:rsidR="00983249" w:rsidRPr="000C15A4" w:rsidRDefault="00983249" w:rsidP="00E51A65">
            <w:pPr>
              <w:spacing w:line="480" w:lineRule="auto"/>
              <w:rPr>
                <w:rFonts w:ascii="Times" w:hAnsi="Times" w:cs="Times"/>
                <w:color w:val="000000"/>
                <w:lang w:val="fr-CH"/>
              </w:rPr>
            </w:pPr>
            <w:r w:rsidRPr="000C15A4">
              <w:rPr>
                <w:rFonts w:ascii="Times" w:hAnsi="Times" w:cs="Times"/>
                <w:color w:val="000000"/>
                <w:lang w:val="fr-CH"/>
              </w:rPr>
              <w:t>Stable engagement (</w:t>
            </w:r>
            <w:proofErr w:type="spellStart"/>
            <w:r w:rsidRPr="000C15A4">
              <w:rPr>
                <w:rFonts w:ascii="Times" w:hAnsi="Times" w:cs="Times"/>
                <w:i/>
                <w:color w:val="000000"/>
                <w:lang w:val="fr-CH"/>
              </w:rPr>
              <w:t>ref</w:t>
            </w:r>
            <w:proofErr w:type="spellEnd"/>
            <w:r w:rsidRPr="000C15A4">
              <w:rPr>
                <w:rFonts w:ascii="Times" w:hAnsi="Times" w:cs="Times"/>
                <w:i/>
                <w:color w:val="000000"/>
                <w:lang w:val="fr-CH"/>
              </w:rPr>
              <w:t>.</w:t>
            </w:r>
            <w:r w:rsidRPr="000C15A4">
              <w:rPr>
                <w:rFonts w:ascii="Times" w:hAnsi="Times" w:cs="Times"/>
                <w:color w:val="000000"/>
                <w:lang w:val="fr-CH"/>
              </w:rPr>
              <w:t>) vs. Stable non-engagement</w:t>
            </w:r>
          </w:p>
        </w:tc>
        <w:tc>
          <w:tcPr>
            <w:tcW w:w="1559" w:type="dxa"/>
            <w:tcBorders>
              <w:top w:val="nil"/>
              <w:left w:val="nil"/>
              <w:bottom w:val="nil"/>
              <w:right w:val="nil"/>
            </w:tcBorders>
            <w:shd w:val="clear" w:color="auto" w:fill="auto"/>
            <w:noWrap/>
            <w:vAlign w:val="bottom"/>
            <w:hideMark/>
          </w:tcPr>
          <w:p w14:paraId="5B0C1C06" w14:textId="77777777" w:rsidR="00983249" w:rsidRPr="000C15A4" w:rsidRDefault="00983249" w:rsidP="00E51A65">
            <w:pPr>
              <w:spacing w:line="480" w:lineRule="auto"/>
              <w:rPr>
                <w:rFonts w:ascii="Times" w:hAnsi="Times" w:cs="Times"/>
                <w:color w:val="000000"/>
                <w:lang w:val="fr-CH"/>
              </w:rPr>
            </w:pPr>
          </w:p>
        </w:tc>
        <w:tc>
          <w:tcPr>
            <w:tcW w:w="993" w:type="dxa"/>
            <w:tcBorders>
              <w:top w:val="nil"/>
              <w:left w:val="nil"/>
              <w:bottom w:val="nil"/>
              <w:right w:val="nil"/>
            </w:tcBorders>
          </w:tcPr>
          <w:p w14:paraId="7A9C0005" w14:textId="77777777" w:rsidR="00983249" w:rsidRPr="000C15A4" w:rsidRDefault="00983249" w:rsidP="00E51A65">
            <w:pPr>
              <w:spacing w:line="480" w:lineRule="auto"/>
              <w:rPr>
                <w:sz w:val="20"/>
                <w:szCs w:val="20"/>
                <w:lang w:val="fr-CH"/>
              </w:rPr>
            </w:pPr>
          </w:p>
        </w:tc>
        <w:tc>
          <w:tcPr>
            <w:tcW w:w="708" w:type="dxa"/>
            <w:tcBorders>
              <w:top w:val="nil"/>
              <w:left w:val="nil"/>
              <w:bottom w:val="nil"/>
              <w:right w:val="nil"/>
            </w:tcBorders>
            <w:shd w:val="clear" w:color="auto" w:fill="auto"/>
            <w:noWrap/>
            <w:vAlign w:val="bottom"/>
            <w:hideMark/>
          </w:tcPr>
          <w:p w14:paraId="4DB9CAF5" w14:textId="77777777" w:rsidR="00983249" w:rsidRPr="000C15A4" w:rsidRDefault="00983249" w:rsidP="00E51A65">
            <w:pPr>
              <w:spacing w:line="480" w:lineRule="auto"/>
              <w:rPr>
                <w:sz w:val="20"/>
                <w:szCs w:val="20"/>
                <w:lang w:val="fr-CH"/>
              </w:rPr>
            </w:pPr>
          </w:p>
        </w:tc>
        <w:tc>
          <w:tcPr>
            <w:tcW w:w="1356" w:type="dxa"/>
            <w:tcBorders>
              <w:top w:val="nil"/>
              <w:left w:val="nil"/>
              <w:bottom w:val="nil"/>
              <w:right w:val="nil"/>
            </w:tcBorders>
            <w:shd w:val="clear" w:color="auto" w:fill="auto"/>
            <w:noWrap/>
            <w:vAlign w:val="bottom"/>
            <w:hideMark/>
          </w:tcPr>
          <w:p w14:paraId="6BABFEAE" w14:textId="77777777" w:rsidR="00983249" w:rsidRPr="000C15A4" w:rsidRDefault="00983249" w:rsidP="00E51A65">
            <w:pPr>
              <w:spacing w:line="480" w:lineRule="auto"/>
              <w:rPr>
                <w:sz w:val="20"/>
                <w:szCs w:val="20"/>
                <w:lang w:val="fr-CH"/>
              </w:rPr>
            </w:pPr>
          </w:p>
        </w:tc>
      </w:tr>
      <w:tr w:rsidR="00983249" w:rsidRPr="00257B43" w14:paraId="16A87AFA"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48BD0B31" w14:textId="77777777" w:rsidR="00983249" w:rsidRPr="00257B43" w:rsidRDefault="00983249" w:rsidP="00E51A65">
            <w:pPr>
              <w:spacing w:line="480" w:lineRule="auto"/>
              <w:ind w:firstLineChars="100" w:firstLine="240"/>
              <w:rPr>
                <w:rFonts w:ascii="Times" w:hAnsi="Times" w:cs="Times"/>
                <w:color w:val="000000"/>
                <w:lang w:val="en-GB"/>
              </w:rPr>
            </w:pPr>
            <w:r w:rsidRPr="00257B43">
              <w:rPr>
                <w:rFonts w:ascii="Times" w:hAnsi="Times" w:cs="Times"/>
                <w:color w:val="000000"/>
                <w:lang w:val="en-GB"/>
              </w:rPr>
              <w:t>Intercept</w:t>
            </w:r>
          </w:p>
        </w:tc>
        <w:tc>
          <w:tcPr>
            <w:tcW w:w="1559" w:type="dxa"/>
            <w:tcBorders>
              <w:top w:val="nil"/>
              <w:left w:val="nil"/>
              <w:bottom w:val="nil"/>
              <w:right w:val="nil"/>
            </w:tcBorders>
            <w:shd w:val="clear" w:color="auto" w:fill="auto"/>
            <w:noWrap/>
            <w:vAlign w:val="bottom"/>
            <w:hideMark/>
          </w:tcPr>
          <w:p w14:paraId="176339DC" w14:textId="77777777" w:rsidR="00983249" w:rsidRPr="00257B43" w:rsidRDefault="00983249" w:rsidP="00E51A65">
            <w:pPr>
              <w:spacing w:line="480" w:lineRule="auto"/>
              <w:jc w:val="center"/>
              <w:rPr>
                <w:rFonts w:ascii="Times" w:hAnsi="Times" w:cs="Times"/>
                <w:color w:val="000000"/>
                <w:lang w:val="en-GB"/>
              </w:rPr>
            </w:pPr>
            <w:r w:rsidRPr="00257B43">
              <w:rPr>
                <w:rFonts w:ascii="Times" w:hAnsi="Times" w:cs="Times"/>
                <w:color w:val="000000"/>
                <w:lang w:val="en-GB"/>
              </w:rPr>
              <w:t>-1.07 (0.68)</w:t>
            </w:r>
          </w:p>
        </w:tc>
        <w:tc>
          <w:tcPr>
            <w:tcW w:w="993" w:type="dxa"/>
            <w:tcBorders>
              <w:top w:val="nil"/>
              <w:left w:val="nil"/>
              <w:bottom w:val="nil"/>
              <w:right w:val="nil"/>
            </w:tcBorders>
          </w:tcPr>
          <w:p w14:paraId="54AF6558" w14:textId="77777777" w:rsidR="00983249" w:rsidRPr="00257B43" w:rsidRDefault="006356A9" w:rsidP="00E51A65">
            <w:pPr>
              <w:spacing w:line="480" w:lineRule="auto"/>
              <w:jc w:val="center"/>
              <w:rPr>
                <w:rFonts w:ascii="Times" w:hAnsi="Times" w:cs="Times"/>
                <w:color w:val="000000"/>
                <w:lang w:val="en-GB"/>
              </w:rPr>
            </w:pPr>
            <w:r>
              <w:rPr>
                <w:rFonts w:ascii="Times" w:hAnsi="Times" w:cs="Times"/>
                <w:color w:val="000000"/>
                <w:lang w:val="en-GB"/>
              </w:rPr>
              <w:t>.12</w:t>
            </w:r>
          </w:p>
        </w:tc>
        <w:tc>
          <w:tcPr>
            <w:tcW w:w="708" w:type="dxa"/>
            <w:tcBorders>
              <w:top w:val="nil"/>
              <w:left w:val="nil"/>
              <w:bottom w:val="nil"/>
              <w:right w:val="nil"/>
            </w:tcBorders>
            <w:shd w:val="clear" w:color="auto" w:fill="auto"/>
            <w:noWrap/>
            <w:vAlign w:val="bottom"/>
            <w:hideMark/>
          </w:tcPr>
          <w:p w14:paraId="67CFB230" w14:textId="77777777" w:rsidR="00983249" w:rsidRPr="00257B43" w:rsidRDefault="00983249" w:rsidP="00E51A65">
            <w:pPr>
              <w:spacing w:line="480" w:lineRule="auto"/>
              <w:jc w:val="center"/>
              <w:rPr>
                <w:rFonts w:ascii="Times" w:hAnsi="Times" w:cs="Times"/>
                <w:color w:val="000000"/>
                <w:lang w:val="en-GB"/>
              </w:rPr>
            </w:pPr>
          </w:p>
        </w:tc>
        <w:tc>
          <w:tcPr>
            <w:tcW w:w="1356" w:type="dxa"/>
            <w:tcBorders>
              <w:top w:val="nil"/>
              <w:left w:val="nil"/>
              <w:bottom w:val="nil"/>
              <w:right w:val="nil"/>
            </w:tcBorders>
            <w:shd w:val="clear" w:color="auto" w:fill="auto"/>
            <w:noWrap/>
            <w:vAlign w:val="bottom"/>
            <w:hideMark/>
          </w:tcPr>
          <w:p w14:paraId="25F3D7BF" w14:textId="77777777" w:rsidR="00983249" w:rsidRPr="00257B43" w:rsidRDefault="00983249" w:rsidP="00E51A65">
            <w:pPr>
              <w:spacing w:line="480" w:lineRule="auto"/>
              <w:rPr>
                <w:sz w:val="20"/>
                <w:szCs w:val="20"/>
                <w:lang w:val="en-GB"/>
              </w:rPr>
            </w:pPr>
          </w:p>
        </w:tc>
      </w:tr>
      <w:tr w:rsidR="00983249" w:rsidRPr="00257B43" w14:paraId="0E89ADDC"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58829253" w14:textId="77777777" w:rsidR="00983249" w:rsidRPr="00257B43" w:rsidRDefault="00983249" w:rsidP="00E51A65">
            <w:pPr>
              <w:spacing w:line="480" w:lineRule="auto"/>
              <w:ind w:firstLineChars="100" w:firstLine="240"/>
              <w:rPr>
                <w:rFonts w:ascii="Times" w:hAnsi="Times" w:cs="Times"/>
                <w:color w:val="000000"/>
                <w:lang w:val="en-GB"/>
              </w:rPr>
            </w:pPr>
            <w:r w:rsidRPr="00257B43">
              <w:rPr>
                <w:rFonts w:ascii="Times" w:hAnsi="Times" w:cs="Times"/>
                <w:color w:val="000000"/>
                <w:lang w:val="en-GB"/>
              </w:rPr>
              <w:t>age</w:t>
            </w:r>
          </w:p>
        </w:tc>
        <w:tc>
          <w:tcPr>
            <w:tcW w:w="1559" w:type="dxa"/>
            <w:tcBorders>
              <w:top w:val="nil"/>
              <w:left w:val="nil"/>
              <w:bottom w:val="nil"/>
              <w:right w:val="nil"/>
            </w:tcBorders>
            <w:shd w:val="clear" w:color="auto" w:fill="auto"/>
            <w:noWrap/>
            <w:vAlign w:val="bottom"/>
            <w:hideMark/>
          </w:tcPr>
          <w:p w14:paraId="24345B43" w14:textId="77777777" w:rsidR="00983249" w:rsidRPr="00257B43" w:rsidRDefault="00983249" w:rsidP="00E51A65">
            <w:pPr>
              <w:spacing w:line="480" w:lineRule="auto"/>
              <w:jc w:val="center"/>
              <w:rPr>
                <w:rFonts w:ascii="Times" w:hAnsi="Times" w:cs="Times"/>
                <w:color w:val="000000"/>
                <w:lang w:val="en-GB"/>
              </w:rPr>
            </w:pPr>
            <w:r w:rsidRPr="00257B43">
              <w:rPr>
                <w:rFonts w:ascii="Times" w:hAnsi="Times" w:cs="Times"/>
                <w:color w:val="000000"/>
                <w:lang w:val="en-GB"/>
              </w:rPr>
              <w:t>0.05 (0.03)</w:t>
            </w:r>
          </w:p>
        </w:tc>
        <w:tc>
          <w:tcPr>
            <w:tcW w:w="993" w:type="dxa"/>
            <w:tcBorders>
              <w:top w:val="nil"/>
              <w:left w:val="nil"/>
              <w:bottom w:val="nil"/>
              <w:right w:val="nil"/>
            </w:tcBorders>
          </w:tcPr>
          <w:p w14:paraId="079DDC68" w14:textId="77777777" w:rsidR="00983249" w:rsidRPr="00257B43" w:rsidRDefault="006356A9" w:rsidP="00E51A65">
            <w:pPr>
              <w:spacing w:line="480" w:lineRule="auto"/>
              <w:jc w:val="center"/>
              <w:rPr>
                <w:rFonts w:ascii="Times" w:hAnsi="Times" w:cs="Times"/>
                <w:color w:val="000000"/>
                <w:lang w:val="en-GB"/>
              </w:rPr>
            </w:pPr>
            <w:r>
              <w:rPr>
                <w:rFonts w:ascii="Times" w:hAnsi="Times" w:cs="Times"/>
                <w:color w:val="000000"/>
                <w:lang w:val="en-GB"/>
              </w:rPr>
              <w:t>0.05</w:t>
            </w:r>
          </w:p>
        </w:tc>
        <w:tc>
          <w:tcPr>
            <w:tcW w:w="708" w:type="dxa"/>
            <w:tcBorders>
              <w:top w:val="nil"/>
              <w:left w:val="nil"/>
              <w:bottom w:val="nil"/>
              <w:right w:val="nil"/>
            </w:tcBorders>
            <w:shd w:val="clear" w:color="auto" w:fill="auto"/>
            <w:noWrap/>
            <w:vAlign w:val="bottom"/>
            <w:hideMark/>
          </w:tcPr>
          <w:p w14:paraId="4E1D24B3" w14:textId="77777777" w:rsidR="00983249" w:rsidRPr="00257B43" w:rsidRDefault="00983249" w:rsidP="00E51A65">
            <w:pPr>
              <w:spacing w:line="480" w:lineRule="auto"/>
              <w:jc w:val="center"/>
              <w:rPr>
                <w:rFonts w:ascii="Times" w:hAnsi="Times" w:cs="Times"/>
                <w:color w:val="000000"/>
                <w:lang w:val="en-GB"/>
              </w:rPr>
            </w:pPr>
            <w:r w:rsidRPr="00257B43">
              <w:rPr>
                <w:rFonts w:ascii="Times" w:hAnsi="Times" w:cs="Times"/>
                <w:color w:val="000000"/>
                <w:lang w:val="en-GB"/>
              </w:rPr>
              <w:t>1.05</w:t>
            </w:r>
          </w:p>
        </w:tc>
        <w:tc>
          <w:tcPr>
            <w:tcW w:w="1356" w:type="dxa"/>
            <w:tcBorders>
              <w:top w:val="nil"/>
              <w:left w:val="nil"/>
              <w:bottom w:val="nil"/>
              <w:right w:val="nil"/>
            </w:tcBorders>
            <w:shd w:val="clear" w:color="auto" w:fill="auto"/>
            <w:noWrap/>
            <w:vAlign w:val="bottom"/>
            <w:hideMark/>
          </w:tcPr>
          <w:p w14:paraId="4F15B33B" w14:textId="77777777" w:rsidR="00983249" w:rsidRPr="00257B43" w:rsidRDefault="00983249" w:rsidP="00E51A65">
            <w:pPr>
              <w:spacing w:line="480" w:lineRule="auto"/>
              <w:rPr>
                <w:rFonts w:ascii="Times" w:hAnsi="Times" w:cs="Times"/>
                <w:color w:val="000000"/>
                <w:lang w:val="en-GB"/>
              </w:rPr>
            </w:pPr>
            <w:r w:rsidRPr="00257B43">
              <w:rPr>
                <w:rFonts w:ascii="Times" w:hAnsi="Times" w:cs="Times"/>
                <w:color w:val="000000"/>
                <w:lang w:val="en-GB"/>
              </w:rPr>
              <w:t>[0.99;1.10]</w:t>
            </w:r>
          </w:p>
        </w:tc>
      </w:tr>
      <w:tr w:rsidR="00983249" w:rsidRPr="00FE414A" w14:paraId="2D18919D" w14:textId="77777777" w:rsidTr="00DC6561">
        <w:trPr>
          <w:gridAfter w:val="1"/>
          <w:wAfter w:w="62" w:type="dxa"/>
          <w:trHeight w:val="314"/>
        </w:trPr>
        <w:tc>
          <w:tcPr>
            <w:tcW w:w="5245" w:type="dxa"/>
            <w:tcBorders>
              <w:top w:val="nil"/>
              <w:left w:val="nil"/>
              <w:bottom w:val="nil"/>
              <w:right w:val="nil"/>
            </w:tcBorders>
            <w:shd w:val="clear" w:color="auto" w:fill="auto"/>
            <w:noWrap/>
            <w:vAlign w:val="bottom"/>
            <w:hideMark/>
          </w:tcPr>
          <w:p w14:paraId="52DF9914" w14:textId="77777777" w:rsidR="00983249" w:rsidRPr="00FE414A" w:rsidRDefault="00983249" w:rsidP="00E51A65">
            <w:pPr>
              <w:spacing w:line="480" w:lineRule="auto"/>
              <w:ind w:firstLineChars="100" w:firstLine="240"/>
              <w:rPr>
                <w:rFonts w:ascii="Times" w:hAnsi="Times" w:cs="Times"/>
                <w:color w:val="000000"/>
                <w:lang w:val="en-GB"/>
              </w:rPr>
            </w:pPr>
            <w:r w:rsidRPr="00FE414A">
              <w:rPr>
                <w:rFonts w:ascii="Times" w:hAnsi="Times" w:cs="Times"/>
                <w:color w:val="000000"/>
                <w:lang w:val="en-GB"/>
              </w:rPr>
              <w:t>immigration background</w:t>
            </w:r>
            <w:r>
              <w:rPr>
                <w:rFonts w:ascii="Times" w:hAnsi="Times" w:cs="Times"/>
                <w:color w:val="000000"/>
                <w:lang w:val="en-GB"/>
              </w:rPr>
              <w:t xml:space="preserve"> (</w:t>
            </w:r>
            <w:r w:rsidRPr="00FE414A">
              <w:rPr>
                <w:rFonts w:ascii="Times" w:hAnsi="Times" w:cs="Times"/>
                <w:i/>
                <w:color w:val="000000"/>
                <w:lang w:val="en-GB"/>
              </w:rPr>
              <w:t>ref.</w:t>
            </w:r>
            <w:r>
              <w:rPr>
                <w:rFonts w:ascii="Times" w:hAnsi="Times" w:cs="Times"/>
                <w:color w:val="000000"/>
                <w:lang w:val="en-GB"/>
              </w:rPr>
              <w:t xml:space="preserve"> yes)</w:t>
            </w:r>
          </w:p>
        </w:tc>
        <w:tc>
          <w:tcPr>
            <w:tcW w:w="1559" w:type="dxa"/>
            <w:tcBorders>
              <w:top w:val="nil"/>
              <w:left w:val="nil"/>
              <w:bottom w:val="nil"/>
              <w:right w:val="nil"/>
            </w:tcBorders>
            <w:shd w:val="clear" w:color="auto" w:fill="auto"/>
            <w:noWrap/>
            <w:vAlign w:val="bottom"/>
            <w:hideMark/>
          </w:tcPr>
          <w:p w14:paraId="67006B08" w14:textId="77777777" w:rsidR="00983249" w:rsidRPr="00FE414A" w:rsidRDefault="006356A9" w:rsidP="00E51A65">
            <w:pPr>
              <w:spacing w:line="480" w:lineRule="auto"/>
              <w:jc w:val="center"/>
              <w:rPr>
                <w:rFonts w:ascii="Times" w:hAnsi="Times" w:cs="Times"/>
                <w:color w:val="000000"/>
                <w:lang w:val="en-GB"/>
              </w:rPr>
            </w:pPr>
            <w:r>
              <w:rPr>
                <w:rFonts w:ascii="Times" w:hAnsi="Times" w:cs="Times"/>
                <w:color w:val="000000"/>
                <w:lang w:val="en-GB"/>
              </w:rPr>
              <w:t>-0.76 (0.15)</w:t>
            </w:r>
          </w:p>
        </w:tc>
        <w:tc>
          <w:tcPr>
            <w:tcW w:w="993" w:type="dxa"/>
            <w:tcBorders>
              <w:top w:val="nil"/>
              <w:left w:val="nil"/>
              <w:bottom w:val="nil"/>
              <w:right w:val="nil"/>
            </w:tcBorders>
          </w:tcPr>
          <w:p w14:paraId="1616F8C9" w14:textId="77777777" w:rsidR="00983249" w:rsidRPr="00FE414A" w:rsidRDefault="006356A9" w:rsidP="00E51A65">
            <w:pPr>
              <w:spacing w:line="480" w:lineRule="auto"/>
              <w:jc w:val="center"/>
              <w:rPr>
                <w:rFonts w:ascii="Times" w:hAnsi="Times" w:cs="Times"/>
                <w:color w:val="000000"/>
                <w:lang w:val="en-GB"/>
              </w:rPr>
            </w:pPr>
            <w:r>
              <w:rPr>
                <w:rFonts w:ascii="Times" w:hAnsi="Times" w:cs="Times"/>
                <w:color w:val="000000"/>
                <w:lang w:val="en-GB"/>
              </w:rPr>
              <w:t>&lt;.001</w:t>
            </w:r>
          </w:p>
        </w:tc>
        <w:tc>
          <w:tcPr>
            <w:tcW w:w="708" w:type="dxa"/>
            <w:tcBorders>
              <w:top w:val="nil"/>
              <w:left w:val="nil"/>
              <w:bottom w:val="nil"/>
              <w:right w:val="nil"/>
            </w:tcBorders>
            <w:shd w:val="clear" w:color="auto" w:fill="auto"/>
            <w:noWrap/>
            <w:vAlign w:val="bottom"/>
            <w:hideMark/>
          </w:tcPr>
          <w:p w14:paraId="0A52F98F" w14:textId="77777777" w:rsidR="00983249" w:rsidRPr="00FE414A" w:rsidRDefault="006356A9" w:rsidP="006048A4">
            <w:pPr>
              <w:spacing w:line="480" w:lineRule="auto"/>
              <w:jc w:val="center"/>
              <w:rPr>
                <w:rFonts w:ascii="Times" w:hAnsi="Times" w:cs="Times"/>
                <w:color w:val="000000"/>
                <w:lang w:val="en-GB"/>
              </w:rPr>
            </w:pPr>
            <w:r>
              <w:rPr>
                <w:rFonts w:ascii="Times" w:hAnsi="Times" w:cs="Times"/>
                <w:color w:val="000000"/>
                <w:lang w:val="en-GB"/>
              </w:rPr>
              <w:t>0.4</w:t>
            </w:r>
            <w:r w:rsidR="006048A4">
              <w:rPr>
                <w:rFonts w:ascii="Times" w:hAnsi="Times" w:cs="Times"/>
                <w:color w:val="000000"/>
                <w:lang w:val="en-GB"/>
              </w:rPr>
              <w:t>7</w:t>
            </w:r>
          </w:p>
        </w:tc>
        <w:tc>
          <w:tcPr>
            <w:tcW w:w="1356" w:type="dxa"/>
            <w:tcBorders>
              <w:top w:val="nil"/>
              <w:left w:val="nil"/>
              <w:bottom w:val="nil"/>
              <w:right w:val="nil"/>
            </w:tcBorders>
            <w:shd w:val="clear" w:color="auto" w:fill="auto"/>
            <w:noWrap/>
            <w:vAlign w:val="bottom"/>
            <w:hideMark/>
          </w:tcPr>
          <w:p w14:paraId="2C3CA1D1" w14:textId="77777777" w:rsidR="00983249" w:rsidRPr="00FE414A" w:rsidRDefault="006356A9" w:rsidP="00E51A65">
            <w:pPr>
              <w:spacing w:line="480" w:lineRule="auto"/>
              <w:rPr>
                <w:rFonts w:ascii="Times" w:hAnsi="Times" w:cs="Times"/>
                <w:color w:val="000000"/>
                <w:lang w:val="en-GB"/>
              </w:rPr>
            </w:pPr>
            <w:r>
              <w:rPr>
                <w:rFonts w:ascii="Times" w:hAnsi="Times" w:cs="Times"/>
                <w:color w:val="000000"/>
                <w:lang w:val="en-GB"/>
              </w:rPr>
              <w:t>[</w:t>
            </w:r>
            <w:r w:rsidR="006048A4">
              <w:rPr>
                <w:rFonts w:ascii="Times" w:hAnsi="Times" w:cs="Times"/>
                <w:color w:val="000000"/>
                <w:lang w:val="en-GB"/>
              </w:rPr>
              <w:t>0.35;0.63</w:t>
            </w:r>
            <w:r w:rsidR="00983249" w:rsidRPr="00FE414A">
              <w:rPr>
                <w:rFonts w:ascii="Times" w:hAnsi="Times" w:cs="Times"/>
                <w:color w:val="000000"/>
                <w:lang w:val="en-GB"/>
              </w:rPr>
              <w:t>]</w:t>
            </w:r>
          </w:p>
        </w:tc>
      </w:tr>
      <w:tr w:rsidR="00983249" w:rsidRPr="00FE414A" w14:paraId="6A22D3A8" w14:textId="77777777" w:rsidTr="00DC6561">
        <w:trPr>
          <w:gridAfter w:val="1"/>
          <w:wAfter w:w="62" w:type="dxa"/>
          <w:trHeight w:val="314"/>
        </w:trPr>
        <w:tc>
          <w:tcPr>
            <w:tcW w:w="5245" w:type="dxa"/>
            <w:tcBorders>
              <w:top w:val="nil"/>
              <w:left w:val="nil"/>
              <w:right w:val="nil"/>
            </w:tcBorders>
            <w:shd w:val="clear" w:color="auto" w:fill="auto"/>
            <w:noWrap/>
            <w:vAlign w:val="bottom"/>
            <w:hideMark/>
          </w:tcPr>
          <w:p w14:paraId="229700D7" w14:textId="77777777" w:rsidR="00983249" w:rsidRPr="00FE414A" w:rsidRDefault="00983249" w:rsidP="00E51A65">
            <w:pPr>
              <w:spacing w:line="480" w:lineRule="auto"/>
              <w:ind w:firstLineChars="100" w:firstLine="240"/>
              <w:rPr>
                <w:rFonts w:ascii="Times" w:hAnsi="Times" w:cs="Times"/>
                <w:color w:val="000000"/>
                <w:lang w:val="en-GB"/>
              </w:rPr>
            </w:pPr>
            <w:r w:rsidRPr="00FE414A">
              <w:rPr>
                <w:rFonts w:ascii="Times" w:hAnsi="Times" w:cs="Times"/>
                <w:color w:val="000000"/>
                <w:lang w:val="en-GB"/>
              </w:rPr>
              <w:t>binge drinking</w:t>
            </w:r>
            <w:r>
              <w:rPr>
                <w:rFonts w:ascii="Times" w:hAnsi="Times" w:cs="Times"/>
                <w:color w:val="000000"/>
                <w:lang w:val="en-GB"/>
              </w:rPr>
              <w:t xml:space="preserve"> (</w:t>
            </w:r>
            <w:r w:rsidRPr="00FE414A">
              <w:rPr>
                <w:rFonts w:ascii="Times" w:hAnsi="Times" w:cs="Times"/>
                <w:i/>
                <w:color w:val="000000"/>
                <w:lang w:val="en-GB"/>
              </w:rPr>
              <w:t>ref.</w:t>
            </w:r>
            <w:r>
              <w:rPr>
                <w:rFonts w:ascii="Times" w:hAnsi="Times" w:cs="Times"/>
                <w:color w:val="000000"/>
                <w:lang w:val="en-GB"/>
              </w:rPr>
              <w:t xml:space="preserve"> yes)</w:t>
            </w:r>
          </w:p>
        </w:tc>
        <w:tc>
          <w:tcPr>
            <w:tcW w:w="1559" w:type="dxa"/>
            <w:tcBorders>
              <w:top w:val="nil"/>
              <w:left w:val="nil"/>
              <w:right w:val="nil"/>
            </w:tcBorders>
            <w:shd w:val="clear" w:color="auto" w:fill="auto"/>
            <w:noWrap/>
            <w:vAlign w:val="bottom"/>
            <w:hideMark/>
          </w:tcPr>
          <w:p w14:paraId="1607F28D" w14:textId="77777777" w:rsidR="00983249" w:rsidRPr="00FE414A" w:rsidRDefault="006356A9" w:rsidP="00E51A65">
            <w:pPr>
              <w:spacing w:line="480" w:lineRule="auto"/>
              <w:jc w:val="center"/>
              <w:rPr>
                <w:rFonts w:ascii="Times" w:hAnsi="Times" w:cs="Times"/>
                <w:color w:val="000000"/>
                <w:lang w:val="en-GB"/>
              </w:rPr>
            </w:pPr>
            <w:r>
              <w:rPr>
                <w:rFonts w:ascii="Times" w:hAnsi="Times" w:cs="Times"/>
                <w:color w:val="000000"/>
                <w:lang w:val="en-GB"/>
              </w:rPr>
              <w:t>0.43 (0.15)</w:t>
            </w:r>
          </w:p>
        </w:tc>
        <w:tc>
          <w:tcPr>
            <w:tcW w:w="993" w:type="dxa"/>
            <w:tcBorders>
              <w:top w:val="nil"/>
              <w:left w:val="nil"/>
              <w:right w:val="nil"/>
            </w:tcBorders>
          </w:tcPr>
          <w:p w14:paraId="49F0D8C6" w14:textId="77777777" w:rsidR="00983249" w:rsidRPr="00FE414A" w:rsidRDefault="0047031F" w:rsidP="00E51A65">
            <w:pPr>
              <w:spacing w:line="480" w:lineRule="auto"/>
              <w:jc w:val="center"/>
              <w:rPr>
                <w:rFonts w:ascii="Times" w:hAnsi="Times" w:cs="Times"/>
                <w:color w:val="000000"/>
                <w:lang w:val="en-GB"/>
              </w:rPr>
            </w:pPr>
            <w:r>
              <w:rPr>
                <w:rFonts w:ascii="Times" w:hAnsi="Times" w:cs="Times"/>
                <w:color w:val="000000"/>
                <w:lang w:val="en-GB"/>
              </w:rPr>
              <w:t>.005</w:t>
            </w:r>
          </w:p>
        </w:tc>
        <w:tc>
          <w:tcPr>
            <w:tcW w:w="708" w:type="dxa"/>
            <w:tcBorders>
              <w:top w:val="nil"/>
              <w:left w:val="nil"/>
              <w:right w:val="nil"/>
            </w:tcBorders>
            <w:shd w:val="clear" w:color="auto" w:fill="auto"/>
            <w:noWrap/>
            <w:vAlign w:val="bottom"/>
            <w:hideMark/>
          </w:tcPr>
          <w:p w14:paraId="37B8FDB2" w14:textId="77777777" w:rsidR="00983249" w:rsidRPr="00FE414A" w:rsidRDefault="00983249" w:rsidP="006356A9">
            <w:pPr>
              <w:spacing w:line="480" w:lineRule="auto"/>
              <w:jc w:val="center"/>
              <w:rPr>
                <w:rFonts w:ascii="Times" w:hAnsi="Times" w:cs="Times"/>
                <w:color w:val="000000"/>
                <w:lang w:val="en-GB"/>
              </w:rPr>
            </w:pPr>
            <w:r w:rsidRPr="00FE414A">
              <w:rPr>
                <w:rFonts w:ascii="Times" w:hAnsi="Times" w:cs="Times"/>
                <w:color w:val="000000"/>
                <w:lang w:val="en-GB"/>
              </w:rPr>
              <w:t>1.5</w:t>
            </w:r>
            <w:r w:rsidR="0047031F">
              <w:rPr>
                <w:rFonts w:ascii="Times" w:hAnsi="Times" w:cs="Times"/>
                <w:color w:val="000000"/>
                <w:lang w:val="en-GB"/>
              </w:rPr>
              <w:t>4</w:t>
            </w:r>
          </w:p>
        </w:tc>
        <w:tc>
          <w:tcPr>
            <w:tcW w:w="1356" w:type="dxa"/>
            <w:tcBorders>
              <w:top w:val="nil"/>
              <w:left w:val="nil"/>
              <w:right w:val="nil"/>
            </w:tcBorders>
            <w:shd w:val="clear" w:color="auto" w:fill="auto"/>
            <w:noWrap/>
            <w:vAlign w:val="bottom"/>
            <w:hideMark/>
          </w:tcPr>
          <w:p w14:paraId="4EE9605E" w14:textId="77777777" w:rsidR="00983249" w:rsidRPr="00FE414A" w:rsidRDefault="00983249" w:rsidP="00E51A65">
            <w:pPr>
              <w:spacing w:line="480" w:lineRule="auto"/>
              <w:rPr>
                <w:rFonts w:ascii="Times" w:hAnsi="Times" w:cs="Times"/>
                <w:color w:val="000000"/>
                <w:lang w:val="en-GB"/>
              </w:rPr>
            </w:pPr>
            <w:r w:rsidRPr="00FE414A">
              <w:rPr>
                <w:rFonts w:ascii="Times" w:hAnsi="Times" w:cs="Times"/>
                <w:color w:val="000000"/>
                <w:lang w:val="en-GB"/>
              </w:rPr>
              <w:t>[</w:t>
            </w:r>
            <w:r w:rsidR="0047031F">
              <w:rPr>
                <w:rFonts w:ascii="Times" w:hAnsi="Times" w:cs="Times"/>
                <w:color w:val="000000"/>
                <w:lang w:val="en-GB"/>
              </w:rPr>
              <w:t>1.14;2.08</w:t>
            </w:r>
            <w:r w:rsidRPr="00FE414A">
              <w:rPr>
                <w:rFonts w:ascii="Times" w:hAnsi="Times" w:cs="Times"/>
                <w:color w:val="000000"/>
                <w:lang w:val="en-GB"/>
              </w:rPr>
              <w:t>]</w:t>
            </w:r>
          </w:p>
        </w:tc>
      </w:tr>
      <w:tr w:rsidR="00983249" w14:paraId="0BA0AF86" w14:textId="77777777" w:rsidTr="00DC6561">
        <w:trPr>
          <w:gridAfter w:val="1"/>
          <w:wAfter w:w="62" w:type="dxa"/>
          <w:trHeight w:val="314"/>
        </w:trPr>
        <w:tc>
          <w:tcPr>
            <w:tcW w:w="5245" w:type="dxa"/>
            <w:tcBorders>
              <w:top w:val="nil"/>
              <w:left w:val="nil"/>
              <w:bottom w:val="single" w:sz="4" w:space="0" w:color="auto"/>
              <w:right w:val="nil"/>
            </w:tcBorders>
            <w:shd w:val="clear" w:color="auto" w:fill="auto"/>
            <w:noWrap/>
            <w:vAlign w:val="bottom"/>
            <w:hideMark/>
          </w:tcPr>
          <w:p w14:paraId="551EC83E" w14:textId="77777777" w:rsidR="00983249" w:rsidRPr="00FE414A" w:rsidRDefault="00983249" w:rsidP="00E51A65">
            <w:pPr>
              <w:spacing w:line="480" w:lineRule="auto"/>
              <w:ind w:firstLineChars="100" w:firstLine="240"/>
              <w:rPr>
                <w:rFonts w:ascii="Times" w:hAnsi="Times" w:cs="Times"/>
                <w:color w:val="000000"/>
                <w:lang w:val="en-GB"/>
              </w:rPr>
            </w:pPr>
            <w:r w:rsidRPr="00FE414A">
              <w:rPr>
                <w:rFonts w:ascii="Times" w:hAnsi="Times" w:cs="Times"/>
                <w:color w:val="000000"/>
                <w:lang w:val="en-GB"/>
              </w:rPr>
              <w:t>benefits of quitting smoking</w:t>
            </w:r>
          </w:p>
        </w:tc>
        <w:tc>
          <w:tcPr>
            <w:tcW w:w="1559" w:type="dxa"/>
            <w:tcBorders>
              <w:top w:val="nil"/>
              <w:left w:val="nil"/>
              <w:bottom w:val="single" w:sz="4" w:space="0" w:color="auto"/>
              <w:right w:val="nil"/>
            </w:tcBorders>
            <w:shd w:val="clear" w:color="auto" w:fill="auto"/>
            <w:noWrap/>
            <w:vAlign w:val="bottom"/>
            <w:hideMark/>
          </w:tcPr>
          <w:p w14:paraId="18F4E82A" w14:textId="77777777" w:rsidR="00983249" w:rsidRDefault="00983249" w:rsidP="00E51A65">
            <w:pPr>
              <w:spacing w:line="480" w:lineRule="auto"/>
              <w:jc w:val="center"/>
              <w:rPr>
                <w:rFonts w:ascii="Times" w:hAnsi="Times" w:cs="Times"/>
                <w:color w:val="000000"/>
              </w:rPr>
            </w:pPr>
            <w:r w:rsidRPr="00FE414A">
              <w:rPr>
                <w:rFonts w:ascii="Times" w:hAnsi="Times" w:cs="Times"/>
                <w:color w:val="000000"/>
                <w:lang w:val="en-GB"/>
              </w:rPr>
              <w:t>-0.37 (</w:t>
            </w:r>
            <w:r>
              <w:rPr>
                <w:rFonts w:ascii="Times" w:hAnsi="Times" w:cs="Times"/>
                <w:color w:val="000000"/>
              </w:rPr>
              <w:t>0.29)</w:t>
            </w:r>
          </w:p>
        </w:tc>
        <w:tc>
          <w:tcPr>
            <w:tcW w:w="993" w:type="dxa"/>
            <w:tcBorders>
              <w:top w:val="nil"/>
              <w:left w:val="nil"/>
              <w:bottom w:val="single" w:sz="4" w:space="0" w:color="auto"/>
              <w:right w:val="nil"/>
            </w:tcBorders>
          </w:tcPr>
          <w:p w14:paraId="067B4D7B" w14:textId="77777777" w:rsidR="00983249" w:rsidRDefault="006356A9" w:rsidP="00E51A65">
            <w:pPr>
              <w:spacing w:line="480" w:lineRule="auto"/>
              <w:jc w:val="center"/>
              <w:rPr>
                <w:rFonts w:ascii="Times" w:hAnsi="Times" w:cs="Times"/>
                <w:color w:val="000000"/>
              </w:rPr>
            </w:pPr>
            <w:r>
              <w:rPr>
                <w:rFonts w:ascii="Times" w:hAnsi="Times" w:cs="Times"/>
                <w:color w:val="000000"/>
              </w:rPr>
              <w:t>.21</w:t>
            </w:r>
          </w:p>
        </w:tc>
        <w:tc>
          <w:tcPr>
            <w:tcW w:w="708" w:type="dxa"/>
            <w:tcBorders>
              <w:top w:val="nil"/>
              <w:left w:val="nil"/>
              <w:bottom w:val="single" w:sz="4" w:space="0" w:color="auto"/>
              <w:right w:val="nil"/>
            </w:tcBorders>
            <w:shd w:val="clear" w:color="auto" w:fill="auto"/>
            <w:noWrap/>
            <w:vAlign w:val="bottom"/>
            <w:hideMark/>
          </w:tcPr>
          <w:p w14:paraId="43582054" w14:textId="77777777" w:rsidR="00983249" w:rsidRDefault="006356A9" w:rsidP="00E51A65">
            <w:pPr>
              <w:spacing w:line="480" w:lineRule="auto"/>
              <w:jc w:val="center"/>
              <w:rPr>
                <w:rFonts w:ascii="Times" w:hAnsi="Times" w:cs="Times"/>
                <w:color w:val="000000"/>
              </w:rPr>
            </w:pPr>
            <w:r>
              <w:rPr>
                <w:rFonts w:ascii="Times" w:hAnsi="Times" w:cs="Times"/>
                <w:color w:val="000000"/>
              </w:rPr>
              <w:t>0.70</w:t>
            </w:r>
          </w:p>
        </w:tc>
        <w:tc>
          <w:tcPr>
            <w:tcW w:w="1356" w:type="dxa"/>
            <w:tcBorders>
              <w:top w:val="nil"/>
              <w:left w:val="nil"/>
              <w:bottom w:val="single" w:sz="4" w:space="0" w:color="auto"/>
              <w:right w:val="nil"/>
            </w:tcBorders>
            <w:shd w:val="clear" w:color="auto" w:fill="auto"/>
            <w:noWrap/>
            <w:vAlign w:val="bottom"/>
            <w:hideMark/>
          </w:tcPr>
          <w:p w14:paraId="26DD1CA5" w14:textId="77777777" w:rsidR="00983249" w:rsidRDefault="006356A9" w:rsidP="006356A9">
            <w:pPr>
              <w:spacing w:line="480" w:lineRule="auto"/>
              <w:rPr>
                <w:rFonts w:ascii="Times" w:hAnsi="Times" w:cs="Times"/>
                <w:color w:val="000000"/>
              </w:rPr>
            </w:pPr>
            <w:r>
              <w:rPr>
                <w:rFonts w:ascii="Times" w:hAnsi="Times" w:cs="Times"/>
                <w:color w:val="000000"/>
              </w:rPr>
              <w:t>[0.39;1.24</w:t>
            </w:r>
            <w:r w:rsidR="00983249">
              <w:rPr>
                <w:rFonts w:ascii="Times" w:hAnsi="Times" w:cs="Times"/>
                <w:color w:val="000000"/>
              </w:rPr>
              <w:t>]</w:t>
            </w:r>
          </w:p>
        </w:tc>
      </w:tr>
      <w:tr w:rsidR="00983249" w:rsidRPr="00D52AD1" w14:paraId="292A06A2" w14:textId="77777777" w:rsidTr="00DC6561">
        <w:trPr>
          <w:gridAfter w:val="1"/>
          <w:wAfter w:w="62" w:type="dxa"/>
          <w:trHeight w:val="314"/>
        </w:trPr>
        <w:tc>
          <w:tcPr>
            <w:tcW w:w="9861" w:type="dxa"/>
            <w:gridSpan w:val="5"/>
            <w:tcBorders>
              <w:top w:val="nil"/>
              <w:left w:val="nil"/>
              <w:bottom w:val="nil"/>
              <w:right w:val="nil"/>
            </w:tcBorders>
          </w:tcPr>
          <w:p w14:paraId="2E7A6965" w14:textId="77777777" w:rsidR="00983249" w:rsidRPr="003912ED" w:rsidRDefault="00983249" w:rsidP="00334D45">
            <w:pPr>
              <w:spacing w:line="480" w:lineRule="auto"/>
              <w:rPr>
                <w:rFonts w:ascii="Times" w:hAnsi="Times" w:cs="Times"/>
                <w:color w:val="000000"/>
                <w:sz w:val="22"/>
                <w:szCs w:val="22"/>
                <w:lang w:val="en-GB"/>
              </w:rPr>
            </w:pPr>
            <w:r w:rsidRPr="00113686">
              <w:rPr>
                <w:rFonts w:ascii="Times" w:hAnsi="Times" w:cs="Times"/>
                <w:i/>
                <w:color w:val="000000"/>
                <w:sz w:val="22"/>
                <w:szCs w:val="22"/>
                <w:lang w:val="de-CH"/>
              </w:rPr>
              <w:t>Note:</w:t>
            </w:r>
            <w:r w:rsidRPr="00113686">
              <w:rPr>
                <w:rFonts w:ascii="Times" w:hAnsi="Times" w:cs="Times"/>
                <w:color w:val="000000"/>
                <w:sz w:val="22"/>
                <w:szCs w:val="22"/>
                <w:lang w:val="de-CH"/>
              </w:rPr>
              <w:t xml:space="preserve"> </w:t>
            </w:r>
            <w:r w:rsidRPr="00113686">
              <w:rPr>
                <w:rFonts w:ascii="Times" w:hAnsi="Times" w:cs="Times"/>
                <w:i/>
                <w:color w:val="000000"/>
                <w:sz w:val="22"/>
                <w:szCs w:val="22"/>
                <w:lang w:val="de-CH"/>
              </w:rPr>
              <w:t>R</w:t>
            </w:r>
            <w:r w:rsidRPr="00113686">
              <w:rPr>
                <w:rFonts w:ascii="Times" w:hAnsi="Times" w:cs="Times"/>
                <w:i/>
                <w:color w:val="000000"/>
                <w:sz w:val="22"/>
                <w:szCs w:val="22"/>
                <w:vertAlign w:val="superscript"/>
                <w:lang w:val="de-CH"/>
              </w:rPr>
              <w:t>2</w:t>
            </w:r>
            <w:r w:rsidRPr="00113686">
              <w:rPr>
                <w:rFonts w:ascii="Times" w:hAnsi="Times" w:cs="Times"/>
                <w:color w:val="000000"/>
                <w:sz w:val="22"/>
                <w:szCs w:val="22"/>
                <w:lang w:val="de-CH"/>
              </w:rPr>
              <w:t xml:space="preserve"> = .04 (Cox &amp; Snell), .05 (</w:t>
            </w:r>
            <w:proofErr w:type="spellStart"/>
            <w:r w:rsidRPr="00113686">
              <w:rPr>
                <w:rFonts w:ascii="Times" w:hAnsi="Times" w:cs="Times"/>
                <w:color w:val="000000"/>
                <w:sz w:val="22"/>
                <w:szCs w:val="22"/>
                <w:lang w:val="de-CH"/>
              </w:rPr>
              <w:t>Nagelkerke</w:t>
            </w:r>
            <w:proofErr w:type="spellEnd"/>
            <w:r w:rsidRPr="00113686">
              <w:rPr>
                <w:rFonts w:ascii="Times" w:hAnsi="Times" w:cs="Times"/>
                <w:color w:val="000000"/>
                <w:sz w:val="22"/>
                <w:szCs w:val="22"/>
                <w:lang w:val="de-CH"/>
              </w:rPr>
              <w:t xml:space="preserve">). </w:t>
            </w:r>
            <w:r w:rsidRPr="003912ED">
              <w:rPr>
                <w:rFonts w:ascii="Times" w:hAnsi="Times" w:cs="Times"/>
                <w:color w:val="000000"/>
                <w:sz w:val="22"/>
                <w:szCs w:val="22"/>
                <w:lang w:val="en-GB"/>
              </w:rPr>
              <w:t xml:space="preserve">Model </w:t>
            </w:r>
            <w:r w:rsidRPr="00C63F25">
              <w:rPr>
                <w:i/>
                <w:lang w:val="en-GB"/>
              </w:rPr>
              <w:t>χ</w:t>
            </w:r>
            <w:r w:rsidRPr="00C63F25">
              <w:rPr>
                <w:i/>
                <w:vertAlign w:val="superscript"/>
                <w:lang w:val="en-GB"/>
              </w:rPr>
              <w:t>2</w:t>
            </w:r>
            <w:r w:rsidRPr="003912ED">
              <w:rPr>
                <w:rFonts w:ascii="Times" w:hAnsi="Times" w:cs="Times"/>
                <w:color w:val="000000"/>
                <w:sz w:val="22"/>
                <w:szCs w:val="22"/>
                <w:lang w:val="en-GB"/>
              </w:rPr>
              <w:t xml:space="preserve"> (8) = 59.84, </w:t>
            </w:r>
            <w:r w:rsidRPr="001F0144">
              <w:rPr>
                <w:rFonts w:ascii="Times" w:hAnsi="Times" w:cs="Times"/>
                <w:i/>
                <w:color w:val="000000"/>
                <w:sz w:val="22"/>
                <w:szCs w:val="22"/>
                <w:lang w:val="en-GB"/>
              </w:rPr>
              <w:t>p</w:t>
            </w:r>
            <w:r w:rsidRPr="003912ED">
              <w:rPr>
                <w:rFonts w:ascii="Times" w:hAnsi="Times" w:cs="Times"/>
                <w:color w:val="000000"/>
                <w:sz w:val="22"/>
                <w:szCs w:val="22"/>
                <w:lang w:val="en-GB"/>
              </w:rPr>
              <w:t xml:space="preserve"> &lt; .001.</w:t>
            </w:r>
            <w:r>
              <w:rPr>
                <w:rFonts w:ascii="Times" w:hAnsi="Times" w:cs="Times"/>
                <w:color w:val="000000"/>
                <w:sz w:val="22"/>
                <w:szCs w:val="22"/>
                <w:lang w:val="en-GB"/>
              </w:rPr>
              <w:t xml:space="preserve"> SE = Standard error, OR = Odds R</w:t>
            </w:r>
            <w:r w:rsidR="00334D45">
              <w:rPr>
                <w:rFonts w:ascii="Times" w:hAnsi="Times" w:cs="Times"/>
                <w:color w:val="000000"/>
                <w:sz w:val="22"/>
                <w:szCs w:val="22"/>
                <w:lang w:val="en-GB"/>
              </w:rPr>
              <w:t>atio, CI = Confidence interval.</w:t>
            </w:r>
          </w:p>
        </w:tc>
      </w:tr>
    </w:tbl>
    <w:p w14:paraId="4C4D3E81" w14:textId="77777777" w:rsidR="00983249" w:rsidRPr="00C43828" w:rsidRDefault="00983249" w:rsidP="00C43828">
      <w:pPr>
        <w:spacing w:line="480" w:lineRule="auto"/>
        <w:rPr>
          <w:lang w:val="en-GB"/>
        </w:rPr>
      </w:pPr>
    </w:p>
    <w:p w14:paraId="4A63C9E8" w14:textId="77777777" w:rsidR="00566769" w:rsidRPr="002840A4" w:rsidRDefault="00A162B1" w:rsidP="00566769">
      <w:pPr>
        <w:spacing w:line="480" w:lineRule="auto"/>
        <w:rPr>
          <w:i/>
          <w:lang w:val="en-GB"/>
        </w:rPr>
      </w:pPr>
      <w:r>
        <w:rPr>
          <w:i/>
          <w:lang w:val="en-GB"/>
        </w:rPr>
        <w:t>3.5</w:t>
      </w:r>
      <w:r w:rsidR="00566769">
        <w:rPr>
          <w:i/>
          <w:lang w:val="en-GB"/>
        </w:rPr>
        <w:t xml:space="preserve"> </w:t>
      </w:r>
      <w:r w:rsidR="00D421DF">
        <w:rPr>
          <w:i/>
          <w:lang w:val="en-GB"/>
        </w:rPr>
        <w:t>Engagement trajectories and smoking behaviour</w:t>
      </w:r>
    </w:p>
    <w:p w14:paraId="3F504E5D" w14:textId="68746DC4" w:rsidR="00D43554" w:rsidRDefault="00B55E59" w:rsidP="00B55E59">
      <w:pPr>
        <w:spacing w:line="480" w:lineRule="auto"/>
        <w:rPr>
          <w:color w:val="000000" w:themeColor="text1"/>
          <w:lang w:val="en-GB"/>
        </w:rPr>
      </w:pPr>
      <w:r w:rsidRPr="00B55E59">
        <w:rPr>
          <w:color w:val="000000" w:themeColor="text1"/>
          <w:lang w:val="en-GB"/>
        </w:rPr>
        <w:t xml:space="preserve">Treatment outcome by type of </w:t>
      </w:r>
      <w:r>
        <w:rPr>
          <w:color w:val="000000" w:themeColor="text1"/>
          <w:lang w:val="en-GB"/>
        </w:rPr>
        <w:t>engagement</w:t>
      </w:r>
      <w:r w:rsidRPr="00B55E59">
        <w:rPr>
          <w:color w:val="000000" w:themeColor="text1"/>
          <w:lang w:val="en-GB"/>
        </w:rPr>
        <w:t xml:space="preserve"> trajectory and comparisons of outcomes between </w:t>
      </w:r>
      <w:proofErr w:type="gramStart"/>
      <w:r>
        <w:rPr>
          <w:color w:val="000000" w:themeColor="text1"/>
          <w:lang w:val="en-GB"/>
        </w:rPr>
        <w:t>engagement</w:t>
      </w:r>
      <w:proofErr w:type="gramEnd"/>
      <w:r w:rsidRPr="00B55E59">
        <w:rPr>
          <w:color w:val="000000" w:themeColor="text1"/>
          <w:lang w:val="en-GB"/>
        </w:rPr>
        <w:t xml:space="preserve"> trajectories are summarized in T</w:t>
      </w:r>
      <w:r>
        <w:rPr>
          <w:color w:val="000000" w:themeColor="text1"/>
          <w:lang w:val="en-GB"/>
        </w:rPr>
        <w:t>able 4</w:t>
      </w:r>
      <w:r w:rsidR="00556055">
        <w:rPr>
          <w:color w:val="000000" w:themeColor="text1"/>
          <w:lang w:val="en-GB"/>
        </w:rPr>
        <w:t xml:space="preserve">. </w:t>
      </w:r>
      <w:r w:rsidR="00E113AF">
        <w:rPr>
          <w:color w:val="000000" w:themeColor="text1"/>
          <w:lang w:val="en-GB"/>
        </w:rPr>
        <w:t>Reach at follow-up differed importantly between stable engagers (84.3%, 545/646), decreasing engagers (74.5%, 373/501), and non-</w:t>
      </w:r>
      <w:r w:rsidR="00E113AF">
        <w:rPr>
          <w:color w:val="000000" w:themeColor="text1"/>
          <w:lang w:val="en-GB"/>
        </w:rPr>
        <w:lastRenderedPageBreak/>
        <w:t>engagers (59.0%, 160/271).</w:t>
      </w:r>
      <w:r w:rsidR="00572876">
        <w:rPr>
          <w:color w:val="000000" w:themeColor="text1"/>
          <w:lang w:val="en-GB"/>
        </w:rPr>
        <w:t xml:space="preserve"> Due to this, three statistical models </w:t>
      </w:r>
      <w:r w:rsidR="00D43554">
        <w:rPr>
          <w:color w:val="000000" w:themeColor="text1"/>
          <w:lang w:val="en-GB"/>
        </w:rPr>
        <w:t xml:space="preserve">were tested. </w:t>
      </w:r>
      <w:r w:rsidR="00676926">
        <w:rPr>
          <w:color w:val="000000" w:themeColor="text1"/>
          <w:lang w:val="en-GB"/>
        </w:rPr>
        <w:t xml:space="preserve">Only the reduction in cigarettes per day </w:t>
      </w:r>
      <w:r w:rsidR="0098182F">
        <w:rPr>
          <w:color w:val="000000" w:themeColor="text1"/>
          <w:lang w:val="en-GB"/>
        </w:rPr>
        <w:t>among</w:t>
      </w:r>
      <w:r w:rsidR="00676926">
        <w:rPr>
          <w:color w:val="000000" w:themeColor="text1"/>
          <w:lang w:val="en-GB"/>
        </w:rPr>
        <w:t xml:space="preserve"> decreasing engagers differed significantly from stable </w:t>
      </w:r>
      <w:r w:rsidR="00D43554">
        <w:rPr>
          <w:color w:val="000000" w:themeColor="text1"/>
          <w:lang w:val="en-GB"/>
        </w:rPr>
        <w:t>non-</w:t>
      </w:r>
      <w:r w:rsidR="00676926">
        <w:rPr>
          <w:color w:val="000000" w:themeColor="text1"/>
          <w:lang w:val="en-GB"/>
        </w:rPr>
        <w:t xml:space="preserve">engagers </w:t>
      </w:r>
      <w:r w:rsidR="0098182F">
        <w:rPr>
          <w:color w:val="000000" w:themeColor="text1"/>
          <w:lang w:val="en-GB"/>
        </w:rPr>
        <w:t xml:space="preserve">under the </w:t>
      </w:r>
      <w:r w:rsidR="00676926">
        <w:rPr>
          <w:color w:val="000000" w:themeColor="text1"/>
          <w:lang w:val="en-GB"/>
        </w:rPr>
        <w:t>CCA</w:t>
      </w:r>
      <w:r w:rsidR="00D43554">
        <w:rPr>
          <w:color w:val="000000" w:themeColor="text1"/>
          <w:lang w:val="en-GB"/>
        </w:rPr>
        <w:t>, LOCF</w:t>
      </w:r>
      <w:r w:rsidR="00676926">
        <w:rPr>
          <w:color w:val="000000" w:themeColor="text1"/>
          <w:lang w:val="en-GB"/>
        </w:rPr>
        <w:t xml:space="preserve"> and ITT </w:t>
      </w:r>
      <w:r w:rsidR="0098182F">
        <w:rPr>
          <w:color w:val="000000" w:themeColor="text1"/>
          <w:lang w:val="en-GB"/>
        </w:rPr>
        <w:t>assumptions</w:t>
      </w:r>
      <w:r w:rsidR="0002298E">
        <w:rPr>
          <w:color w:val="000000" w:themeColor="text1"/>
          <w:lang w:val="en-GB"/>
        </w:rPr>
        <w:t xml:space="preserve"> (CCA: </w:t>
      </w:r>
      <w:r w:rsidR="0002298E" w:rsidRPr="003F3AF3">
        <w:rPr>
          <w:i/>
          <w:color w:val="000000" w:themeColor="text1"/>
          <w:lang w:val="en-GB"/>
        </w:rPr>
        <w:t>β</w:t>
      </w:r>
      <w:r w:rsidR="0002298E">
        <w:rPr>
          <w:color w:val="000000" w:themeColor="text1"/>
          <w:lang w:val="en-GB"/>
        </w:rPr>
        <w:t>=</w:t>
      </w:r>
      <w:r w:rsidR="00CD3F1F">
        <w:rPr>
          <w:color w:val="000000" w:themeColor="text1"/>
          <w:lang w:val="en-GB"/>
        </w:rPr>
        <w:t xml:space="preserve"> </w:t>
      </w:r>
      <w:r w:rsidR="0002298E">
        <w:rPr>
          <w:color w:val="000000" w:themeColor="text1"/>
          <w:lang w:val="en-GB"/>
        </w:rPr>
        <w:t>0.</w:t>
      </w:r>
      <w:r w:rsidR="00D43554">
        <w:rPr>
          <w:color w:val="000000" w:themeColor="text1"/>
          <w:lang w:val="en-GB"/>
        </w:rPr>
        <w:t>65</w:t>
      </w:r>
      <w:r w:rsidR="0002298E">
        <w:rPr>
          <w:color w:val="000000" w:themeColor="text1"/>
          <w:lang w:val="en-GB"/>
        </w:rPr>
        <w:t xml:space="preserve">, </w:t>
      </w:r>
      <w:r w:rsidR="00D43554" w:rsidRPr="00D43554">
        <w:rPr>
          <w:i/>
          <w:color w:val="000000" w:themeColor="text1"/>
          <w:lang w:val="en-GB"/>
        </w:rPr>
        <w:t>P</w:t>
      </w:r>
      <w:r w:rsidR="00D43554">
        <w:rPr>
          <w:color w:val="000000" w:themeColor="text1"/>
          <w:lang w:val="en-GB"/>
        </w:rPr>
        <w:t>=</w:t>
      </w:r>
      <w:r w:rsidR="00CE3C22">
        <w:rPr>
          <w:color w:val="000000"/>
          <w:lang w:val="en-GB"/>
        </w:rPr>
        <w:t xml:space="preserve"> </w:t>
      </w:r>
      <w:r w:rsidR="009762CC">
        <w:rPr>
          <w:color w:val="000000"/>
          <w:lang w:val="en-GB"/>
        </w:rPr>
        <w:t>0.</w:t>
      </w:r>
      <w:r w:rsidR="00D43554">
        <w:rPr>
          <w:color w:val="000000"/>
          <w:lang w:val="en-GB"/>
        </w:rPr>
        <w:t>02</w:t>
      </w:r>
      <w:r w:rsidR="0002298E">
        <w:rPr>
          <w:color w:val="000000" w:themeColor="text1"/>
          <w:lang w:val="en-GB"/>
        </w:rPr>
        <w:t>;</w:t>
      </w:r>
      <w:r w:rsidR="00D43554">
        <w:rPr>
          <w:color w:val="000000" w:themeColor="text1"/>
          <w:lang w:val="en-GB"/>
        </w:rPr>
        <w:t xml:space="preserve"> LOCF: </w:t>
      </w:r>
      <w:r w:rsidR="00D43554" w:rsidRPr="003F3AF3">
        <w:rPr>
          <w:i/>
          <w:color w:val="000000" w:themeColor="text1"/>
          <w:lang w:val="en-GB"/>
        </w:rPr>
        <w:t>β</w:t>
      </w:r>
      <w:r w:rsidR="00D43554">
        <w:rPr>
          <w:color w:val="000000" w:themeColor="text1"/>
          <w:lang w:val="en-GB"/>
        </w:rPr>
        <w:t xml:space="preserve">= 0.43, </w:t>
      </w:r>
      <w:r w:rsidR="00D43554" w:rsidRPr="00D43554">
        <w:rPr>
          <w:i/>
          <w:color w:val="000000" w:themeColor="text1"/>
          <w:lang w:val="en-GB"/>
        </w:rPr>
        <w:t>P</w:t>
      </w:r>
      <w:r w:rsidR="00D43554">
        <w:rPr>
          <w:color w:val="000000" w:themeColor="text1"/>
          <w:lang w:val="en-GB"/>
        </w:rPr>
        <w:t>=</w:t>
      </w:r>
      <w:r w:rsidR="00D43554">
        <w:rPr>
          <w:color w:val="000000"/>
          <w:lang w:val="en-GB"/>
        </w:rPr>
        <w:t xml:space="preserve"> 0.01</w:t>
      </w:r>
      <w:r w:rsidR="00D43554">
        <w:rPr>
          <w:color w:val="000000" w:themeColor="text1"/>
          <w:lang w:val="en-GB"/>
        </w:rPr>
        <w:t>;</w:t>
      </w:r>
      <w:r w:rsidR="0002298E">
        <w:rPr>
          <w:color w:val="000000" w:themeColor="text1"/>
          <w:lang w:val="en-GB"/>
        </w:rPr>
        <w:t xml:space="preserve"> ITT: </w:t>
      </w:r>
      <w:r w:rsidR="0002298E" w:rsidRPr="003F3AF3">
        <w:rPr>
          <w:i/>
          <w:color w:val="000000" w:themeColor="text1"/>
          <w:lang w:val="en-GB"/>
        </w:rPr>
        <w:t>β</w:t>
      </w:r>
      <w:r w:rsidR="0002298E">
        <w:rPr>
          <w:color w:val="000000" w:themeColor="text1"/>
          <w:lang w:val="en-GB"/>
        </w:rPr>
        <w:t>=</w:t>
      </w:r>
      <w:r w:rsidR="00CD3F1F">
        <w:rPr>
          <w:color w:val="000000" w:themeColor="text1"/>
          <w:lang w:val="en-GB"/>
        </w:rPr>
        <w:t xml:space="preserve"> </w:t>
      </w:r>
      <w:r w:rsidR="0002298E">
        <w:rPr>
          <w:color w:val="000000" w:themeColor="text1"/>
          <w:lang w:val="en-GB"/>
        </w:rPr>
        <w:t>0.</w:t>
      </w:r>
      <w:r w:rsidR="00D43554">
        <w:rPr>
          <w:color w:val="000000" w:themeColor="text1"/>
          <w:lang w:val="en-GB"/>
        </w:rPr>
        <w:t>54</w:t>
      </w:r>
      <w:r w:rsidR="0002298E">
        <w:rPr>
          <w:color w:val="000000" w:themeColor="text1"/>
          <w:lang w:val="en-GB"/>
        </w:rPr>
        <w:t xml:space="preserve">, </w:t>
      </w:r>
      <w:r w:rsidR="009762CC">
        <w:rPr>
          <w:i/>
          <w:color w:val="000000" w:themeColor="text1"/>
          <w:lang w:val="en-GB"/>
        </w:rPr>
        <w:t>P</w:t>
      </w:r>
      <w:r w:rsidR="009762CC">
        <w:rPr>
          <w:color w:val="000000" w:themeColor="text1"/>
          <w:lang w:val="en-GB"/>
        </w:rPr>
        <w:t>= .0</w:t>
      </w:r>
      <w:r w:rsidR="00D43554">
        <w:rPr>
          <w:color w:val="000000" w:themeColor="text1"/>
          <w:lang w:val="en-GB"/>
        </w:rPr>
        <w:t>3</w:t>
      </w:r>
      <w:r w:rsidR="0002298E">
        <w:rPr>
          <w:color w:val="000000" w:themeColor="text1"/>
          <w:lang w:val="en-GB"/>
        </w:rPr>
        <w:t>)</w:t>
      </w:r>
      <w:r w:rsidR="00676926">
        <w:rPr>
          <w:color w:val="000000" w:themeColor="text1"/>
          <w:lang w:val="en-GB"/>
        </w:rPr>
        <w:t xml:space="preserve">. </w:t>
      </w:r>
      <w:r w:rsidR="00676926" w:rsidRPr="00D43554">
        <w:rPr>
          <w:color w:val="000000" w:themeColor="text1"/>
          <w:lang w:val="en-GB"/>
        </w:rPr>
        <w:t xml:space="preserve">Decreasing engagers smoked significantly </w:t>
      </w:r>
      <w:r w:rsidR="0098182F" w:rsidRPr="00D43554">
        <w:rPr>
          <w:color w:val="000000" w:themeColor="text1"/>
          <w:lang w:val="en-GB"/>
        </w:rPr>
        <w:t>fewer</w:t>
      </w:r>
      <w:r w:rsidR="00676926" w:rsidRPr="00D43554">
        <w:rPr>
          <w:color w:val="000000" w:themeColor="text1"/>
          <w:lang w:val="en-GB"/>
        </w:rPr>
        <w:t xml:space="preserve"> cigarettes per day at the end of the intervention </w:t>
      </w:r>
      <w:r w:rsidR="00C27937" w:rsidRPr="00D43554">
        <w:rPr>
          <w:color w:val="000000" w:themeColor="text1"/>
          <w:lang w:val="en-GB"/>
        </w:rPr>
        <w:t>than</w:t>
      </w:r>
      <w:r w:rsidR="00676926" w:rsidRPr="00D43554">
        <w:rPr>
          <w:color w:val="000000" w:themeColor="text1"/>
          <w:lang w:val="en-GB"/>
        </w:rPr>
        <w:t xml:space="preserve"> </w:t>
      </w:r>
      <w:r w:rsidR="00D43554" w:rsidRPr="00D43554">
        <w:rPr>
          <w:color w:val="000000" w:themeColor="text1"/>
          <w:lang w:val="en-GB"/>
        </w:rPr>
        <w:t>non-</w:t>
      </w:r>
      <w:r w:rsidR="00676926" w:rsidRPr="00D43554">
        <w:rPr>
          <w:color w:val="000000" w:themeColor="text1"/>
          <w:lang w:val="en-GB"/>
        </w:rPr>
        <w:t>engagers.</w:t>
      </w:r>
      <w:r w:rsidR="00676926">
        <w:rPr>
          <w:color w:val="000000" w:themeColor="text1"/>
          <w:lang w:val="en-GB"/>
        </w:rPr>
        <w:t xml:space="preserve">  </w:t>
      </w:r>
    </w:p>
    <w:p w14:paraId="18A96143" w14:textId="77E2F994" w:rsidR="00566769" w:rsidRPr="002247D5" w:rsidRDefault="002247D5" w:rsidP="00F276C7">
      <w:pPr>
        <w:spacing w:line="480" w:lineRule="auto"/>
        <w:ind w:firstLine="426"/>
        <w:rPr>
          <w:lang w:val="en-GB"/>
        </w:rPr>
      </w:pPr>
      <w:r>
        <w:rPr>
          <w:color w:val="000000" w:themeColor="text1"/>
          <w:lang w:val="en-GB"/>
        </w:rPr>
        <w:t xml:space="preserve">With respect to </w:t>
      </w:r>
      <w:r w:rsidR="0098182F">
        <w:rPr>
          <w:color w:val="000000" w:themeColor="text1"/>
          <w:lang w:val="en-GB"/>
        </w:rPr>
        <w:t>the seven</w:t>
      </w:r>
      <w:r>
        <w:rPr>
          <w:color w:val="000000" w:themeColor="text1"/>
          <w:lang w:val="en-GB"/>
        </w:rPr>
        <w:t>-</w:t>
      </w:r>
      <w:r w:rsidR="0098182F">
        <w:rPr>
          <w:color w:val="000000" w:themeColor="text1"/>
          <w:lang w:val="en-GB"/>
        </w:rPr>
        <w:t>day</w:t>
      </w:r>
      <w:r w:rsidR="00F276C7">
        <w:rPr>
          <w:color w:val="000000" w:themeColor="text1"/>
          <w:lang w:val="en-GB"/>
        </w:rPr>
        <w:t xml:space="preserve"> </w:t>
      </w:r>
      <w:r>
        <w:rPr>
          <w:color w:val="000000" w:themeColor="text1"/>
          <w:lang w:val="en-GB"/>
        </w:rPr>
        <w:t xml:space="preserve">point prevalence </w:t>
      </w:r>
      <w:r w:rsidR="0098182F">
        <w:rPr>
          <w:color w:val="000000" w:themeColor="text1"/>
          <w:lang w:val="en-GB"/>
        </w:rPr>
        <w:t xml:space="preserve">of </w:t>
      </w:r>
      <w:r>
        <w:rPr>
          <w:color w:val="000000" w:themeColor="text1"/>
          <w:lang w:val="en-GB"/>
        </w:rPr>
        <w:t xml:space="preserve">abstinence at </w:t>
      </w:r>
      <w:r w:rsidR="0098182F">
        <w:rPr>
          <w:color w:val="000000" w:themeColor="text1"/>
          <w:lang w:val="en-GB"/>
        </w:rPr>
        <w:t>six</w:t>
      </w:r>
      <w:r>
        <w:rPr>
          <w:color w:val="000000" w:themeColor="text1"/>
          <w:lang w:val="en-GB"/>
        </w:rPr>
        <w:t xml:space="preserve">-month follow-up, no comparison revealed </w:t>
      </w:r>
      <w:r w:rsidR="0098182F">
        <w:rPr>
          <w:color w:val="000000" w:themeColor="text1"/>
          <w:lang w:val="en-GB"/>
        </w:rPr>
        <w:t xml:space="preserve">a </w:t>
      </w:r>
      <w:r>
        <w:rPr>
          <w:color w:val="000000" w:themeColor="text1"/>
          <w:lang w:val="en-GB"/>
        </w:rPr>
        <w:t xml:space="preserve">significant </w:t>
      </w:r>
      <w:r w:rsidR="0098182F">
        <w:rPr>
          <w:color w:val="000000" w:themeColor="text1"/>
          <w:lang w:val="en-GB"/>
        </w:rPr>
        <w:t xml:space="preserve">difference </w:t>
      </w:r>
      <w:r w:rsidR="004A52F0">
        <w:rPr>
          <w:color w:val="000000" w:themeColor="text1"/>
          <w:lang w:val="en-GB"/>
        </w:rPr>
        <w:t>under all three assumptions</w:t>
      </w:r>
      <w:r>
        <w:rPr>
          <w:color w:val="000000" w:themeColor="text1"/>
          <w:lang w:val="en-GB"/>
        </w:rPr>
        <w:t xml:space="preserve">. </w:t>
      </w:r>
      <w:r w:rsidR="004A52F0">
        <w:rPr>
          <w:color w:val="000000" w:themeColor="text1"/>
          <w:lang w:val="en-GB"/>
        </w:rPr>
        <w:t>On</w:t>
      </w:r>
      <w:r w:rsidR="0098182F">
        <w:rPr>
          <w:color w:val="000000" w:themeColor="text1"/>
          <w:lang w:val="en-GB"/>
        </w:rPr>
        <w:t xml:space="preserve"> </w:t>
      </w:r>
      <w:r>
        <w:rPr>
          <w:color w:val="000000" w:themeColor="text1"/>
          <w:lang w:val="en-GB"/>
        </w:rPr>
        <w:t>ITT</w:t>
      </w:r>
      <w:r w:rsidR="0098182F">
        <w:rPr>
          <w:color w:val="000000" w:themeColor="text1"/>
          <w:lang w:val="en-GB"/>
        </w:rPr>
        <w:t xml:space="preserve"> analysis</w:t>
      </w:r>
      <w:r>
        <w:rPr>
          <w:color w:val="000000" w:themeColor="text1"/>
          <w:lang w:val="en-GB"/>
        </w:rPr>
        <w:t xml:space="preserve">, the odds of being abstinent at follow-up was </w:t>
      </w:r>
      <w:r w:rsidR="004A52F0">
        <w:rPr>
          <w:color w:val="000000" w:themeColor="text1"/>
          <w:lang w:val="en-GB"/>
        </w:rPr>
        <w:t>higher</w:t>
      </w:r>
      <w:r>
        <w:rPr>
          <w:color w:val="000000" w:themeColor="text1"/>
          <w:lang w:val="en-GB"/>
        </w:rPr>
        <w:t xml:space="preserve"> </w:t>
      </w:r>
      <w:r w:rsidR="0098182F">
        <w:rPr>
          <w:color w:val="000000" w:themeColor="text1"/>
          <w:lang w:val="en-GB"/>
        </w:rPr>
        <w:t xml:space="preserve">among </w:t>
      </w:r>
      <w:r w:rsidR="004A52F0">
        <w:rPr>
          <w:color w:val="000000" w:themeColor="text1"/>
          <w:lang w:val="en-GB"/>
        </w:rPr>
        <w:t>non-</w:t>
      </w:r>
      <w:r>
        <w:rPr>
          <w:color w:val="000000" w:themeColor="text1"/>
          <w:lang w:val="en-GB"/>
        </w:rPr>
        <w:t xml:space="preserve">engagers than </w:t>
      </w:r>
      <w:r w:rsidR="004A52F0">
        <w:rPr>
          <w:color w:val="000000" w:themeColor="text1"/>
          <w:lang w:val="en-GB"/>
        </w:rPr>
        <w:t>e</w:t>
      </w:r>
      <w:r>
        <w:rPr>
          <w:color w:val="000000" w:themeColor="text1"/>
          <w:lang w:val="en-GB"/>
        </w:rPr>
        <w:t>ngagers (</w:t>
      </w:r>
      <w:r w:rsidRPr="00B55E59">
        <w:rPr>
          <w:lang w:val="en-GB" w:eastAsia="de-CH"/>
        </w:rPr>
        <w:t>OR</w:t>
      </w:r>
      <w:r w:rsidRPr="00B55E59">
        <w:rPr>
          <w:i/>
          <w:lang w:val="en-GB" w:eastAsia="de-CH"/>
        </w:rPr>
        <w:t xml:space="preserve"> </w:t>
      </w:r>
      <w:r>
        <w:rPr>
          <w:lang w:val="en-GB" w:eastAsia="de-CH"/>
        </w:rPr>
        <w:t xml:space="preserve">= </w:t>
      </w:r>
      <w:r w:rsidR="004A52F0">
        <w:rPr>
          <w:lang w:val="en-GB" w:eastAsia="de-CH"/>
        </w:rPr>
        <w:t>1.32</w:t>
      </w:r>
      <w:r>
        <w:rPr>
          <w:lang w:val="en-GB"/>
        </w:rPr>
        <w:t>,</w:t>
      </w:r>
      <w:r w:rsidRPr="00B55E59">
        <w:rPr>
          <w:lang w:val="en-GB" w:eastAsia="de-CH"/>
        </w:rPr>
        <w:t xml:space="preserve"> </w:t>
      </w:r>
      <w:r w:rsidR="0024248D">
        <w:rPr>
          <w:i/>
          <w:lang w:val="en-GB" w:eastAsia="de-CH"/>
        </w:rPr>
        <w:t>P=</w:t>
      </w:r>
      <w:r w:rsidRPr="00B55E59">
        <w:rPr>
          <w:lang w:val="en-GB" w:eastAsia="de-CH"/>
        </w:rPr>
        <w:t>.</w:t>
      </w:r>
      <w:r w:rsidR="004A52F0">
        <w:rPr>
          <w:lang w:val="en-GB" w:eastAsia="de-CH"/>
        </w:rPr>
        <w:t>02</w:t>
      </w:r>
      <w:r w:rsidRPr="00B55E59">
        <w:rPr>
          <w:lang w:val="en-GB" w:eastAsia="de-CH"/>
        </w:rPr>
        <w:t>)</w:t>
      </w:r>
      <w:r w:rsidR="00F37A18">
        <w:rPr>
          <w:color w:val="000000" w:themeColor="text1"/>
          <w:lang w:val="en-GB"/>
        </w:rPr>
        <w:t>.</w:t>
      </w:r>
      <w:r w:rsidR="00D007AA">
        <w:rPr>
          <w:color w:val="000000" w:themeColor="text1"/>
          <w:lang w:val="en-GB"/>
        </w:rPr>
        <w:t xml:space="preserve"> But t</w:t>
      </w:r>
      <w:r w:rsidR="00F37A18">
        <w:rPr>
          <w:color w:val="000000" w:themeColor="text1"/>
          <w:lang w:val="en-GB"/>
        </w:rPr>
        <w:t>his finding must be interpreted with caution, since</w:t>
      </w:r>
      <w:r w:rsidR="004A52F0">
        <w:rPr>
          <w:color w:val="000000" w:themeColor="text1"/>
          <w:lang w:val="en-GB"/>
        </w:rPr>
        <w:t xml:space="preserve"> bias in the </w:t>
      </w:r>
      <w:r w:rsidR="00F37A18">
        <w:rPr>
          <w:color w:val="000000" w:themeColor="text1"/>
          <w:lang w:val="en-GB"/>
        </w:rPr>
        <w:t>multiple</w:t>
      </w:r>
      <w:r w:rsidR="004A52F0">
        <w:rPr>
          <w:color w:val="000000" w:themeColor="text1"/>
          <w:lang w:val="en-GB"/>
        </w:rPr>
        <w:t xml:space="preserve"> imputation</w:t>
      </w:r>
      <w:r w:rsidR="00F37A18">
        <w:rPr>
          <w:color w:val="000000" w:themeColor="text1"/>
          <w:lang w:val="en-GB"/>
        </w:rPr>
        <w:t xml:space="preserve"> of missing data seems probable due to the different amount of available information at follow-up</w:t>
      </w:r>
      <w:r w:rsidR="004A52F0">
        <w:rPr>
          <w:color w:val="000000" w:themeColor="text1"/>
          <w:lang w:val="en-GB"/>
        </w:rPr>
        <w:t xml:space="preserve">. </w:t>
      </w:r>
      <w:r w:rsidR="00F37A18">
        <w:rPr>
          <w:color w:val="000000" w:themeColor="text1"/>
          <w:lang w:val="en-GB"/>
        </w:rPr>
        <w:t>Caution is also warranted, as u</w:t>
      </w:r>
      <w:r w:rsidR="004A52F0">
        <w:rPr>
          <w:color w:val="000000" w:themeColor="text1"/>
          <w:lang w:val="en-GB"/>
        </w:rPr>
        <w:t xml:space="preserve">nder the </w:t>
      </w:r>
      <w:r w:rsidR="00F37A18">
        <w:rPr>
          <w:color w:val="000000" w:themeColor="text1"/>
          <w:lang w:val="en-GB"/>
        </w:rPr>
        <w:t>missing-as-smoker assumption</w:t>
      </w:r>
      <w:r w:rsidR="004A52F0">
        <w:rPr>
          <w:color w:val="000000" w:themeColor="text1"/>
          <w:lang w:val="en-GB"/>
        </w:rPr>
        <w:t>, the odds for being abstinent turn in the opposite direction</w:t>
      </w:r>
      <w:r w:rsidR="00F37A18">
        <w:rPr>
          <w:color w:val="000000" w:themeColor="text1"/>
          <w:lang w:val="en-GB"/>
        </w:rPr>
        <w:t>.</w:t>
      </w:r>
      <w:r w:rsidR="004A52F0">
        <w:rPr>
          <w:color w:val="000000" w:themeColor="text1"/>
          <w:lang w:val="en-GB"/>
        </w:rPr>
        <w:t xml:space="preserve"> </w:t>
      </w:r>
    </w:p>
    <w:p w14:paraId="35050C80" w14:textId="77777777" w:rsidR="009379B5" w:rsidRDefault="009379B5" w:rsidP="009379B5">
      <w:pPr>
        <w:rPr>
          <w:lang w:val="en-GB"/>
        </w:rPr>
      </w:pPr>
      <w:r>
        <w:rPr>
          <w:lang w:val="en-GB"/>
        </w:rPr>
        <w:br w:type="page"/>
      </w:r>
    </w:p>
    <w:p w14:paraId="1DBD5714" w14:textId="77777777" w:rsidR="009379B5" w:rsidRDefault="009379B5" w:rsidP="009379B5">
      <w:pPr>
        <w:rPr>
          <w:lang w:val="en-GB"/>
        </w:rPr>
        <w:sectPr w:rsidR="009379B5" w:rsidSect="009379B5">
          <w:footerReference w:type="default" r:id="rId17"/>
          <w:pgSz w:w="11906" w:h="16838"/>
          <w:pgMar w:top="1134" w:right="1417" w:bottom="1417" w:left="1417" w:header="709" w:footer="709" w:gutter="0"/>
          <w:cols w:space="708"/>
          <w:docGrid w:linePitch="360"/>
        </w:sectPr>
      </w:pPr>
    </w:p>
    <w:p w14:paraId="03C2662C" w14:textId="52659102" w:rsidR="009379B5" w:rsidRPr="000C15A4" w:rsidRDefault="009379B5" w:rsidP="009379B5">
      <w:pPr>
        <w:rPr>
          <w:lang w:val="en-GB"/>
        </w:rPr>
      </w:pPr>
      <w:r>
        <w:rPr>
          <w:lang w:val="en-GB"/>
        </w:rPr>
        <w:lastRenderedPageBreak/>
        <w:t>Table 4</w:t>
      </w:r>
      <w:r w:rsidR="00C11B06">
        <w:rPr>
          <w:lang w:val="en-GB"/>
        </w:rPr>
        <w:t>:</w:t>
      </w:r>
      <w:r>
        <w:rPr>
          <w:lang w:val="en-GB"/>
        </w:rPr>
        <w:t xml:space="preserve"> </w:t>
      </w:r>
      <w:r w:rsidRPr="000C15A4">
        <w:rPr>
          <w:color w:val="000000" w:themeColor="text1"/>
          <w:lang w:val="en-GB"/>
        </w:rPr>
        <w:t xml:space="preserve">Comparison of treatment outcomes between </w:t>
      </w:r>
      <w:r w:rsidR="00C11B06">
        <w:rPr>
          <w:color w:val="000000" w:themeColor="text1"/>
          <w:lang w:val="en-GB"/>
        </w:rPr>
        <w:t xml:space="preserve">different </w:t>
      </w:r>
      <w:r w:rsidRPr="000C15A4">
        <w:rPr>
          <w:color w:val="000000" w:themeColor="text1"/>
          <w:lang w:val="en-GB"/>
        </w:rPr>
        <w:t>engagement</w:t>
      </w:r>
      <w:r w:rsidRPr="000C15A4">
        <w:rPr>
          <w:lang w:val="en-GB"/>
        </w:rPr>
        <w:t xml:space="preserve"> trajectories</w:t>
      </w:r>
      <w:r w:rsidR="005620CE">
        <w:rPr>
          <w:lang w:val="en-GB"/>
        </w:rPr>
        <w:t>. Descriptive data are based on complete cases.</w:t>
      </w:r>
      <w:r w:rsidRPr="000C15A4">
        <w:rPr>
          <w:color w:val="000000" w:themeColor="text1"/>
          <w:lang w:val="en-GB"/>
        </w:rPr>
        <w:t xml:space="preserve"> </w:t>
      </w:r>
    </w:p>
    <w:tbl>
      <w:tblPr>
        <w:tblW w:w="14998"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51"/>
        <w:gridCol w:w="1580"/>
        <w:gridCol w:w="1576"/>
        <w:gridCol w:w="1578"/>
        <w:gridCol w:w="1578"/>
        <w:gridCol w:w="162"/>
        <w:gridCol w:w="1419"/>
        <w:gridCol w:w="162"/>
        <w:gridCol w:w="569"/>
        <w:gridCol w:w="1451"/>
        <w:gridCol w:w="1624"/>
        <w:gridCol w:w="1419"/>
        <w:gridCol w:w="29"/>
      </w:tblGrid>
      <w:tr w:rsidR="00866092" w:rsidRPr="00907407" w14:paraId="096D7B31" w14:textId="77777777" w:rsidTr="00866092">
        <w:trPr>
          <w:gridAfter w:val="1"/>
          <w:wAfter w:w="29" w:type="dxa"/>
          <w:trHeight w:val="1001"/>
        </w:trPr>
        <w:tc>
          <w:tcPr>
            <w:tcW w:w="1852" w:type="dxa"/>
            <w:tcBorders>
              <w:top w:val="single" w:sz="4" w:space="0" w:color="auto"/>
              <w:bottom w:val="single" w:sz="4" w:space="0" w:color="auto"/>
            </w:tcBorders>
            <w:shd w:val="clear" w:color="auto" w:fill="auto"/>
            <w:vAlign w:val="center"/>
          </w:tcPr>
          <w:p w14:paraId="08839C8C" w14:textId="77777777" w:rsidR="00866092" w:rsidRDefault="00866092" w:rsidP="00E51A65">
            <w:pPr>
              <w:rPr>
                <w:color w:val="000000"/>
                <w:lang w:val="en-GB"/>
              </w:rPr>
            </w:pPr>
          </w:p>
        </w:tc>
        <w:tc>
          <w:tcPr>
            <w:tcW w:w="1578" w:type="dxa"/>
            <w:tcBorders>
              <w:top w:val="single" w:sz="4" w:space="0" w:color="auto"/>
              <w:bottom w:val="single" w:sz="4" w:space="0" w:color="auto"/>
            </w:tcBorders>
          </w:tcPr>
          <w:p w14:paraId="0E848F40" w14:textId="77777777" w:rsidR="00866092" w:rsidRDefault="00866092" w:rsidP="00E51A65">
            <w:pPr>
              <w:jc w:val="center"/>
              <w:rPr>
                <w:color w:val="000000"/>
                <w:lang w:val="en-GB"/>
              </w:rPr>
            </w:pPr>
          </w:p>
        </w:tc>
        <w:tc>
          <w:tcPr>
            <w:tcW w:w="6314" w:type="dxa"/>
            <w:gridSpan w:val="5"/>
            <w:tcBorders>
              <w:top w:val="single" w:sz="4" w:space="0" w:color="auto"/>
              <w:bottom w:val="single" w:sz="4" w:space="0" w:color="auto"/>
            </w:tcBorders>
            <w:shd w:val="clear" w:color="auto" w:fill="auto"/>
            <w:vAlign w:val="center"/>
          </w:tcPr>
          <w:p w14:paraId="63A8103C" w14:textId="39CD2801" w:rsidR="00866092" w:rsidRPr="004E67EA" w:rsidRDefault="00866092" w:rsidP="00E51A65">
            <w:pPr>
              <w:jc w:val="center"/>
              <w:rPr>
                <w:color w:val="000000"/>
                <w:lang w:val="en-GB"/>
              </w:rPr>
            </w:pPr>
            <w:r>
              <w:rPr>
                <w:color w:val="000000"/>
                <w:lang w:val="en-GB"/>
              </w:rPr>
              <w:t>Difference in cigarettes per day</w:t>
            </w:r>
          </w:p>
        </w:tc>
        <w:tc>
          <w:tcPr>
            <w:tcW w:w="162" w:type="dxa"/>
            <w:tcBorders>
              <w:top w:val="single" w:sz="4" w:space="0" w:color="auto"/>
              <w:bottom w:val="nil"/>
            </w:tcBorders>
          </w:tcPr>
          <w:p w14:paraId="3DAAE74F" w14:textId="77777777" w:rsidR="00866092" w:rsidRDefault="00866092" w:rsidP="00E51A65">
            <w:pPr>
              <w:jc w:val="center"/>
              <w:rPr>
                <w:color w:val="000000"/>
                <w:lang w:val="en-GB"/>
              </w:rPr>
            </w:pPr>
          </w:p>
        </w:tc>
        <w:tc>
          <w:tcPr>
            <w:tcW w:w="5063" w:type="dxa"/>
            <w:gridSpan w:val="4"/>
            <w:tcBorders>
              <w:top w:val="single" w:sz="4" w:space="0" w:color="auto"/>
              <w:bottom w:val="single" w:sz="4" w:space="0" w:color="auto"/>
            </w:tcBorders>
            <w:shd w:val="clear" w:color="auto" w:fill="auto"/>
            <w:vAlign w:val="center"/>
          </w:tcPr>
          <w:p w14:paraId="00D2FD9E" w14:textId="2850C539" w:rsidR="00866092" w:rsidRPr="004E67EA" w:rsidRDefault="00866092" w:rsidP="00E51A65">
            <w:pPr>
              <w:jc w:val="center"/>
              <w:rPr>
                <w:color w:val="000000"/>
                <w:lang w:val="en-GB"/>
              </w:rPr>
            </w:pPr>
            <w:r>
              <w:rPr>
                <w:color w:val="000000"/>
                <w:lang w:val="en-GB"/>
              </w:rPr>
              <w:t>7-day point prevalence of smoking abstinence</w:t>
            </w:r>
          </w:p>
        </w:tc>
      </w:tr>
      <w:tr w:rsidR="00866092" w14:paraId="011E5FE6" w14:textId="77777777" w:rsidTr="00866092">
        <w:trPr>
          <w:trHeight w:val="749"/>
        </w:trPr>
        <w:tc>
          <w:tcPr>
            <w:tcW w:w="1852" w:type="dxa"/>
            <w:vMerge w:val="restart"/>
            <w:tcBorders>
              <w:top w:val="single" w:sz="4" w:space="0" w:color="auto"/>
              <w:bottom w:val="single" w:sz="4" w:space="0" w:color="auto"/>
            </w:tcBorders>
            <w:shd w:val="clear" w:color="auto" w:fill="auto"/>
            <w:vAlign w:val="bottom"/>
            <w:hideMark/>
          </w:tcPr>
          <w:p w14:paraId="53D65989" w14:textId="77777777" w:rsidR="00866092" w:rsidRDefault="00866092" w:rsidP="00516A80">
            <w:pPr>
              <w:rPr>
                <w:color w:val="000000"/>
                <w:lang w:val="de-CH" w:eastAsia="de-CH"/>
              </w:rPr>
            </w:pPr>
            <w:r>
              <w:rPr>
                <w:color w:val="000000"/>
                <w:lang w:val="en-GB"/>
              </w:rPr>
              <w:t>Engagement trajectory</w:t>
            </w:r>
          </w:p>
        </w:tc>
        <w:tc>
          <w:tcPr>
            <w:tcW w:w="1581" w:type="dxa"/>
            <w:tcBorders>
              <w:top w:val="single" w:sz="4" w:space="0" w:color="auto"/>
              <w:bottom w:val="single" w:sz="4" w:space="0" w:color="auto"/>
            </w:tcBorders>
            <w:shd w:val="clear" w:color="auto" w:fill="auto"/>
            <w:vAlign w:val="center"/>
            <w:hideMark/>
          </w:tcPr>
          <w:p w14:paraId="6135B568" w14:textId="6BD71B2D" w:rsidR="00866092" w:rsidRPr="000C15A4" w:rsidRDefault="00866092" w:rsidP="00516A80">
            <w:pPr>
              <w:ind w:left="176"/>
              <w:jc w:val="center"/>
              <w:rPr>
                <w:color w:val="000000"/>
                <w:lang w:val="en-GB"/>
              </w:rPr>
            </w:pPr>
          </w:p>
        </w:tc>
        <w:tc>
          <w:tcPr>
            <w:tcW w:w="1577" w:type="dxa"/>
            <w:tcBorders>
              <w:top w:val="single" w:sz="4" w:space="0" w:color="auto"/>
              <w:bottom w:val="single" w:sz="4" w:space="0" w:color="auto"/>
            </w:tcBorders>
            <w:shd w:val="clear" w:color="auto" w:fill="auto"/>
            <w:vAlign w:val="center"/>
            <w:hideMark/>
          </w:tcPr>
          <w:p w14:paraId="647D5269" w14:textId="77777777" w:rsidR="00866092" w:rsidRDefault="00866092" w:rsidP="00516A80">
            <w:pPr>
              <w:jc w:val="center"/>
              <w:rPr>
                <w:color w:val="000000"/>
              </w:rPr>
            </w:pPr>
            <w:r>
              <w:rPr>
                <w:color w:val="000000"/>
              </w:rPr>
              <w:t>CCA</w:t>
            </w:r>
          </w:p>
        </w:tc>
        <w:tc>
          <w:tcPr>
            <w:tcW w:w="1578" w:type="dxa"/>
            <w:tcBorders>
              <w:top w:val="single" w:sz="4" w:space="0" w:color="auto"/>
              <w:bottom w:val="single" w:sz="4" w:space="0" w:color="auto"/>
            </w:tcBorders>
            <w:vAlign w:val="center"/>
          </w:tcPr>
          <w:p w14:paraId="3518C36D" w14:textId="2B43C20D" w:rsidR="00866092" w:rsidRDefault="00866092" w:rsidP="00866092">
            <w:pPr>
              <w:jc w:val="center"/>
              <w:rPr>
                <w:color w:val="000000"/>
              </w:rPr>
            </w:pPr>
            <w:r>
              <w:rPr>
                <w:color w:val="000000"/>
              </w:rPr>
              <w:t>LOCF</w:t>
            </w:r>
          </w:p>
        </w:tc>
        <w:tc>
          <w:tcPr>
            <w:tcW w:w="1578" w:type="dxa"/>
            <w:tcBorders>
              <w:top w:val="single" w:sz="4" w:space="0" w:color="auto"/>
              <w:bottom w:val="single" w:sz="4" w:space="0" w:color="auto"/>
            </w:tcBorders>
            <w:shd w:val="clear" w:color="auto" w:fill="auto"/>
            <w:vAlign w:val="center"/>
            <w:hideMark/>
          </w:tcPr>
          <w:p w14:paraId="50B2A967" w14:textId="0E783869" w:rsidR="00866092" w:rsidRDefault="00866092" w:rsidP="00516A80">
            <w:pPr>
              <w:jc w:val="center"/>
              <w:rPr>
                <w:color w:val="000000"/>
              </w:rPr>
            </w:pPr>
            <w:r>
              <w:rPr>
                <w:color w:val="000000"/>
              </w:rPr>
              <w:t>ITT</w:t>
            </w:r>
          </w:p>
        </w:tc>
        <w:tc>
          <w:tcPr>
            <w:tcW w:w="162" w:type="dxa"/>
            <w:tcBorders>
              <w:top w:val="nil"/>
              <w:bottom w:val="nil"/>
            </w:tcBorders>
            <w:vAlign w:val="center"/>
          </w:tcPr>
          <w:p w14:paraId="0F891C93" w14:textId="77777777" w:rsidR="00866092" w:rsidRPr="00F276C7" w:rsidRDefault="00866092" w:rsidP="001E43B5">
            <w:pPr>
              <w:jc w:val="center"/>
              <w:rPr>
                <w:color w:val="000000"/>
                <w:lang w:val="en-GB"/>
              </w:rPr>
            </w:pPr>
          </w:p>
        </w:tc>
        <w:tc>
          <w:tcPr>
            <w:tcW w:w="2150" w:type="dxa"/>
            <w:gridSpan w:val="3"/>
            <w:tcBorders>
              <w:top w:val="single" w:sz="4" w:space="0" w:color="auto"/>
              <w:bottom w:val="single" w:sz="4" w:space="0" w:color="auto"/>
            </w:tcBorders>
            <w:shd w:val="clear" w:color="auto" w:fill="auto"/>
            <w:vAlign w:val="center"/>
            <w:hideMark/>
          </w:tcPr>
          <w:p w14:paraId="01D464ED" w14:textId="6078A61A" w:rsidR="00866092" w:rsidRPr="00F276C7" w:rsidRDefault="00866092" w:rsidP="00516A80">
            <w:pPr>
              <w:jc w:val="center"/>
              <w:rPr>
                <w:color w:val="000000"/>
                <w:lang w:val="en-GB"/>
              </w:rPr>
            </w:pPr>
          </w:p>
        </w:tc>
        <w:tc>
          <w:tcPr>
            <w:tcW w:w="1451" w:type="dxa"/>
            <w:tcBorders>
              <w:top w:val="single" w:sz="4" w:space="0" w:color="auto"/>
              <w:bottom w:val="single" w:sz="4" w:space="0" w:color="auto"/>
            </w:tcBorders>
            <w:shd w:val="clear" w:color="auto" w:fill="auto"/>
            <w:vAlign w:val="center"/>
            <w:hideMark/>
          </w:tcPr>
          <w:p w14:paraId="4C309B28" w14:textId="77777777" w:rsidR="00866092" w:rsidRDefault="00866092" w:rsidP="00516A80">
            <w:pPr>
              <w:jc w:val="center"/>
              <w:rPr>
                <w:color w:val="000000"/>
              </w:rPr>
            </w:pPr>
            <w:r>
              <w:rPr>
                <w:color w:val="000000"/>
              </w:rPr>
              <w:t>CCA</w:t>
            </w:r>
          </w:p>
        </w:tc>
        <w:tc>
          <w:tcPr>
            <w:tcW w:w="1624" w:type="dxa"/>
            <w:tcBorders>
              <w:top w:val="single" w:sz="4" w:space="0" w:color="auto"/>
              <w:bottom w:val="single" w:sz="4" w:space="0" w:color="auto"/>
            </w:tcBorders>
            <w:vAlign w:val="center"/>
          </w:tcPr>
          <w:p w14:paraId="7FBD3D2C" w14:textId="59263B92" w:rsidR="00866092" w:rsidRDefault="00866092" w:rsidP="00516A80">
            <w:pPr>
              <w:jc w:val="center"/>
              <w:rPr>
                <w:color w:val="000000"/>
              </w:rPr>
            </w:pPr>
            <w:r>
              <w:rPr>
                <w:color w:val="000000"/>
              </w:rPr>
              <w:t>MAS</w:t>
            </w:r>
          </w:p>
        </w:tc>
        <w:tc>
          <w:tcPr>
            <w:tcW w:w="1445" w:type="dxa"/>
            <w:gridSpan w:val="2"/>
            <w:tcBorders>
              <w:top w:val="single" w:sz="4" w:space="0" w:color="auto"/>
              <w:bottom w:val="single" w:sz="4" w:space="0" w:color="auto"/>
            </w:tcBorders>
            <w:shd w:val="clear" w:color="auto" w:fill="auto"/>
            <w:vAlign w:val="center"/>
            <w:hideMark/>
          </w:tcPr>
          <w:p w14:paraId="19E0CA8E" w14:textId="77777777" w:rsidR="00866092" w:rsidRDefault="00866092" w:rsidP="00516A80">
            <w:pPr>
              <w:jc w:val="center"/>
              <w:rPr>
                <w:color w:val="000000"/>
              </w:rPr>
            </w:pPr>
            <w:r>
              <w:rPr>
                <w:color w:val="000000"/>
              </w:rPr>
              <w:t>ITT</w:t>
            </w:r>
          </w:p>
        </w:tc>
      </w:tr>
      <w:tr w:rsidR="00866092" w14:paraId="5C8E7193" w14:textId="77777777" w:rsidTr="00FC29FC">
        <w:trPr>
          <w:trHeight w:val="699"/>
        </w:trPr>
        <w:tc>
          <w:tcPr>
            <w:tcW w:w="1852" w:type="dxa"/>
            <w:vMerge/>
            <w:tcBorders>
              <w:top w:val="single" w:sz="4" w:space="0" w:color="auto"/>
              <w:bottom w:val="single" w:sz="4" w:space="0" w:color="auto"/>
            </w:tcBorders>
            <w:shd w:val="clear" w:color="auto" w:fill="auto"/>
            <w:vAlign w:val="center"/>
            <w:hideMark/>
          </w:tcPr>
          <w:p w14:paraId="0551AAE3" w14:textId="77777777" w:rsidR="00866092" w:rsidRDefault="00866092" w:rsidP="004E67EA">
            <w:pPr>
              <w:rPr>
                <w:color w:val="000000"/>
              </w:rPr>
            </w:pPr>
          </w:p>
        </w:tc>
        <w:tc>
          <w:tcPr>
            <w:tcW w:w="1581" w:type="dxa"/>
            <w:tcBorders>
              <w:top w:val="single" w:sz="4" w:space="0" w:color="auto"/>
              <w:bottom w:val="single" w:sz="4" w:space="0" w:color="auto"/>
            </w:tcBorders>
            <w:shd w:val="clear" w:color="auto" w:fill="auto"/>
            <w:vAlign w:val="center"/>
            <w:hideMark/>
          </w:tcPr>
          <w:p w14:paraId="29158003" w14:textId="77777777" w:rsidR="00866092" w:rsidRPr="00972FD7" w:rsidRDefault="00866092" w:rsidP="004E67EA">
            <w:pPr>
              <w:jc w:val="center"/>
              <w:rPr>
                <w:i/>
                <w:color w:val="000000"/>
              </w:rPr>
            </w:pPr>
            <w:r w:rsidRPr="00972FD7">
              <w:rPr>
                <w:i/>
                <w:color w:val="000000"/>
                <w:lang w:val="en-GB"/>
              </w:rPr>
              <w:t>M (SD)</w:t>
            </w:r>
          </w:p>
        </w:tc>
        <w:tc>
          <w:tcPr>
            <w:tcW w:w="1577" w:type="dxa"/>
            <w:tcBorders>
              <w:top w:val="single" w:sz="4" w:space="0" w:color="auto"/>
              <w:bottom w:val="single" w:sz="4" w:space="0" w:color="auto"/>
            </w:tcBorders>
            <w:shd w:val="clear" w:color="auto" w:fill="auto"/>
            <w:vAlign w:val="center"/>
            <w:hideMark/>
          </w:tcPr>
          <w:p w14:paraId="38DCC53F" w14:textId="1881498B" w:rsidR="00866092" w:rsidRDefault="00866092" w:rsidP="004E67EA">
            <w:pPr>
              <w:jc w:val="center"/>
              <w:rPr>
                <w:color w:val="000000"/>
              </w:rPr>
            </w:pPr>
            <w:r w:rsidRPr="00972FD7">
              <w:rPr>
                <w:i/>
                <w:color w:val="000000"/>
                <w:lang w:val="en-GB"/>
              </w:rPr>
              <w:t>β</w:t>
            </w:r>
            <w:r>
              <w:rPr>
                <w:i/>
                <w:color w:val="000000"/>
                <w:lang w:val="en-GB"/>
              </w:rPr>
              <w:t xml:space="preserve"> (</w:t>
            </w:r>
            <w:r w:rsidRPr="00477EDB">
              <w:rPr>
                <w:i/>
                <w:color w:val="000000"/>
              </w:rPr>
              <w:t xml:space="preserve">P </w:t>
            </w:r>
            <w:proofErr w:type="spellStart"/>
            <w:r>
              <w:rPr>
                <w:color w:val="000000"/>
              </w:rPr>
              <w:t>value</w:t>
            </w:r>
            <w:proofErr w:type="spellEnd"/>
            <w:r>
              <w:rPr>
                <w:color w:val="000000"/>
              </w:rPr>
              <w:t>)</w:t>
            </w:r>
          </w:p>
        </w:tc>
        <w:tc>
          <w:tcPr>
            <w:tcW w:w="1578" w:type="dxa"/>
            <w:tcBorders>
              <w:top w:val="single" w:sz="4" w:space="0" w:color="auto"/>
              <w:bottom w:val="single" w:sz="4" w:space="0" w:color="auto"/>
            </w:tcBorders>
            <w:vAlign w:val="center"/>
          </w:tcPr>
          <w:p w14:paraId="3CE381D6" w14:textId="3EF65F24" w:rsidR="00866092" w:rsidRDefault="00FC29FC" w:rsidP="00FC29FC">
            <w:pPr>
              <w:jc w:val="center"/>
              <w:rPr>
                <w:color w:val="000000"/>
              </w:rPr>
            </w:pPr>
            <w:r w:rsidRPr="00972FD7">
              <w:rPr>
                <w:i/>
                <w:color w:val="000000"/>
                <w:lang w:val="en-GB"/>
              </w:rPr>
              <w:t>β</w:t>
            </w:r>
            <w:r>
              <w:rPr>
                <w:i/>
                <w:color w:val="000000"/>
                <w:lang w:val="en-GB"/>
              </w:rPr>
              <w:t xml:space="preserve"> (</w:t>
            </w:r>
            <w:r w:rsidRPr="00477EDB">
              <w:rPr>
                <w:i/>
                <w:color w:val="000000"/>
              </w:rPr>
              <w:t xml:space="preserve">P </w:t>
            </w:r>
            <w:proofErr w:type="spellStart"/>
            <w:r>
              <w:rPr>
                <w:color w:val="000000"/>
              </w:rPr>
              <w:t>value</w:t>
            </w:r>
            <w:proofErr w:type="spellEnd"/>
            <w:r>
              <w:rPr>
                <w:color w:val="000000"/>
              </w:rPr>
              <w:t>)</w:t>
            </w:r>
          </w:p>
        </w:tc>
        <w:tc>
          <w:tcPr>
            <w:tcW w:w="1578" w:type="dxa"/>
            <w:tcBorders>
              <w:top w:val="single" w:sz="4" w:space="0" w:color="auto"/>
              <w:bottom w:val="single" w:sz="4" w:space="0" w:color="auto"/>
            </w:tcBorders>
            <w:shd w:val="clear" w:color="auto" w:fill="auto"/>
            <w:vAlign w:val="center"/>
            <w:hideMark/>
          </w:tcPr>
          <w:p w14:paraId="5BF8D351" w14:textId="166ADFAA" w:rsidR="00866092" w:rsidRDefault="00866092" w:rsidP="00FC29FC">
            <w:pPr>
              <w:jc w:val="center"/>
              <w:rPr>
                <w:color w:val="000000"/>
              </w:rPr>
            </w:pPr>
            <w:r>
              <w:rPr>
                <w:color w:val="000000"/>
              </w:rPr>
              <w:t> </w:t>
            </w:r>
            <w:r w:rsidRPr="00972FD7">
              <w:rPr>
                <w:i/>
                <w:color w:val="000000"/>
                <w:lang w:val="en-GB"/>
              </w:rPr>
              <w:t>β</w:t>
            </w:r>
            <w:r>
              <w:rPr>
                <w:i/>
                <w:color w:val="000000"/>
                <w:lang w:val="en-GB"/>
              </w:rPr>
              <w:t xml:space="preserve"> (</w:t>
            </w:r>
            <w:r w:rsidRPr="00477EDB">
              <w:rPr>
                <w:i/>
                <w:color w:val="000000"/>
              </w:rPr>
              <w:t xml:space="preserve">P </w:t>
            </w:r>
            <w:proofErr w:type="spellStart"/>
            <w:r>
              <w:rPr>
                <w:color w:val="000000"/>
              </w:rPr>
              <w:t>value</w:t>
            </w:r>
            <w:proofErr w:type="spellEnd"/>
            <w:r>
              <w:rPr>
                <w:color w:val="000000"/>
              </w:rPr>
              <w:t>)</w:t>
            </w:r>
          </w:p>
        </w:tc>
        <w:tc>
          <w:tcPr>
            <w:tcW w:w="162" w:type="dxa"/>
            <w:tcBorders>
              <w:top w:val="nil"/>
              <w:bottom w:val="nil"/>
            </w:tcBorders>
            <w:vAlign w:val="center"/>
          </w:tcPr>
          <w:p w14:paraId="6DD241E2" w14:textId="77777777" w:rsidR="00866092" w:rsidRDefault="00866092" w:rsidP="001E43B5">
            <w:pPr>
              <w:jc w:val="center"/>
              <w:rPr>
                <w:color w:val="000000"/>
                <w:lang w:val="en-GB"/>
              </w:rPr>
            </w:pPr>
          </w:p>
        </w:tc>
        <w:tc>
          <w:tcPr>
            <w:tcW w:w="2150" w:type="dxa"/>
            <w:gridSpan w:val="3"/>
            <w:tcBorders>
              <w:top w:val="single" w:sz="4" w:space="0" w:color="auto"/>
              <w:bottom w:val="single" w:sz="4" w:space="0" w:color="auto"/>
            </w:tcBorders>
            <w:shd w:val="clear" w:color="auto" w:fill="auto"/>
            <w:vAlign w:val="center"/>
            <w:hideMark/>
          </w:tcPr>
          <w:p w14:paraId="0039923E" w14:textId="1A19E0D0" w:rsidR="00866092" w:rsidRDefault="00866092" w:rsidP="004E67EA">
            <w:pPr>
              <w:jc w:val="center"/>
              <w:rPr>
                <w:color w:val="000000"/>
              </w:rPr>
            </w:pPr>
            <w:r>
              <w:rPr>
                <w:color w:val="000000"/>
                <w:lang w:val="en-GB"/>
              </w:rPr>
              <w:t>% (n)</w:t>
            </w:r>
          </w:p>
        </w:tc>
        <w:tc>
          <w:tcPr>
            <w:tcW w:w="1451" w:type="dxa"/>
            <w:tcBorders>
              <w:top w:val="single" w:sz="4" w:space="0" w:color="auto"/>
              <w:bottom w:val="single" w:sz="4" w:space="0" w:color="auto"/>
            </w:tcBorders>
            <w:shd w:val="clear" w:color="auto" w:fill="auto"/>
            <w:vAlign w:val="center"/>
            <w:hideMark/>
          </w:tcPr>
          <w:p w14:paraId="3BABF6EB" w14:textId="07703002" w:rsidR="00866092" w:rsidRDefault="00866092" w:rsidP="004E67EA">
            <w:pPr>
              <w:jc w:val="center"/>
              <w:rPr>
                <w:color w:val="000000"/>
              </w:rPr>
            </w:pPr>
            <w:r>
              <w:rPr>
                <w:color w:val="000000"/>
                <w:lang w:val="en-GB"/>
              </w:rPr>
              <w:t xml:space="preserve">OR </w:t>
            </w:r>
            <w:r>
              <w:rPr>
                <w:i/>
                <w:color w:val="000000"/>
                <w:lang w:val="en-GB"/>
              </w:rPr>
              <w:t>(</w:t>
            </w:r>
            <w:r w:rsidRPr="00477EDB">
              <w:rPr>
                <w:i/>
                <w:color w:val="000000"/>
              </w:rPr>
              <w:t xml:space="preserve">P </w:t>
            </w:r>
            <w:proofErr w:type="spellStart"/>
            <w:r>
              <w:rPr>
                <w:color w:val="000000"/>
              </w:rPr>
              <w:t>value</w:t>
            </w:r>
            <w:proofErr w:type="spellEnd"/>
            <w:r>
              <w:rPr>
                <w:color w:val="000000"/>
              </w:rPr>
              <w:t>)</w:t>
            </w:r>
          </w:p>
        </w:tc>
        <w:tc>
          <w:tcPr>
            <w:tcW w:w="1624" w:type="dxa"/>
            <w:tcBorders>
              <w:top w:val="single" w:sz="4" w:space="0" w:color="auto"/>
              <w:bottom w:val="single" w:sz="4" w:space="0" w:color="auto"/>
            </w:tcBorders>
            <w:vAlign w:val="center"/>
          </w:tcPr>
          <w:p w14:paraId="4F2C5729" w14:textId="2E233EB3" w:rsidR="00866092" w:rsidRDefault="00866092" w:rsidP="00516A80">
            <w:pPr>
              <w:jc w:val="center"/>
              <w:rPr>
                <w:color w:val="000000"/>
              </w:rPr>
            </w:pPr>
            <w:r>
              <w:rPr>
                <w:color w:val="000000"/>
                <w:lang w:val="en-GB"/>
              </w:rPr>
              <w:t xml:space="preserve">OR </w:t>
            </w:r>
            <w:r>
              <w:rPr>
                <w:i/>
                <w:color w:val="000000"/>
                <w:lang w:val="en-GB"/>
              </w:rPr>
              <w:t>(</w:t>
            </w:r>
            <w:r w:rsidRPr="00477EDB">
              <w:rPr>
                <w:i/>
                <w:color w:val="000000"/>
              </w:rPr>
              <w:t xml:space="preserve">P </w:t>
            </w:r>
            <w:proofErr w:type="spellStart"/>
            <w:r>
              <w:rPr>
                <w:color w:val="000000"/>
              </w:rPr>
              <w:t>value</w:t>
            </w:r>
            <w:proofErr w:type="spellEnd"/>
            <w:r>
              <w:rPr>
                <w:color w:val="000000"/>
              </w:rPr>
              <w:t>)</w:t>
            </w:r>
          </w:p>
        </w:tc>
        <w:tc>
          <w:tcPr>
            <w:tcW w:w="1445" w:type="dxa"/>
            <w:gridSpan w:val="2"/>
            <w:tcBorders>
              <w:top w:val="single" w:sz="4" w:space="0" w:color="auto"/>
              <w:bottom w:val="single" w:sz="4" w:space="0" w:color="auto"/>
            </w:tcBorders>
            <w:shd w:val="clear" w:color="auto" w:fill="auto"/>
            <w:vAlign w:val="center"/>
            <w:hideMark/>
          </w:tcPr>
          <w:p w14:paraId="73189430" w14:textId="57F99537" w:rsidR="00866092" w:rsidRDefault="00866092" w:rsidP="004E67EA">
            <w:pPr>
              <w:jc w:val="center"/>
              <w:rPr>
                <w:color w:val="000000"/>
              </w:rPr>
            </w:pPr>
            <w:r>
              <w:rPr>
                <w:color w:val="000000"/>
                <w:lang w:val="en-GB"/>
              </w:rPr>
              <w:t xml:space="preserve">OR </w:t>
            </w:r>
            <w:r>
              <w:rPr>
                <w:i/>
                <w:color w:val="000000"/>
                <w:lang w:val="en-GB"/>
              </w:rPr>
              <w:t>(</w:t>
            </w:r>
            <w:r w:rsidRPr="00477EDB">
              <w:rPr>
                <w:i/>
                <w:color w:val="000000"/>
              </w:rPr>
              <w:t xml:space="preserve">P </w:t>
            </w:r>
            <w:proofErr w:type="spellStart"/>
            <w:r>
              <w:rPr>
                <w:color w:val="000000"/>
              </w:rPr>
              <w:t>value</w:t>
            </w:r>
            <w:proofErr w:type="spellEnd"/>
            <w:r>
              <w:rPr>
                <w:color w:val="000000"/>
              </w:rPr>
              <w:t>)</w:t>
            </w:r>
          </w:p>
        </w:tc>
      </w:tr>
      <w:tr w:rsidR="00866092" w14:paraId="54674DA5" w14:textId="77777777" w:rsidTr="00702051">
        <w:trPr>
          <w:trHeight w:val="401"/>
        </w:trPr>
        <w:tc>
          <w:tcPr>
            <w:tcW w:w="1852" w:type="dxa"/>
            <w:tcBorders>
              <w:top w:val="single" w:sz="4" w:space="0" w:color="auto"/>
            </w:tcBorders>
            <w:shd w:val="clear" w:color="auto" w:fill="auto"/>
            <w:vAlign w:val="center"/>
            <w:hideMark/>
          </w:tcPr>
          <w:p w14:paraId="5FA7ED44" w14:textId="77777777" w:rsidR="00866092" w:rsidRDefault="00866092" w:rsidP="00911E18">
            <w:pPr>
              <w:rPr>
                <w:color w:val="000000"/>
              </w:rPr>
            </w:pPr>
            <w:r>
              <w:rPr>
                <w:color w:val="000000"/>
                <w:lang w:val="en-GB"/>
              </w:rPr>
              <w:t xml:space="preserve">SE (Ref.) </w:t>
            </w:r>
          </w:p>
        </w:tc>
        <w:tc>
          <w:tcPr>
            <w:tcW w:w="1581" w:type="dxa"/>
            <w:tcBorders>
              <w:top w:val="single" w:sz="4" w:space="0" w:color="auto"/>
            </w:tcBorders>
            <w:shd w:val="clear" w:color="auto" w:fill="auto"/>
            <w:vAlign w:val="center"/>
            <w:hideMark/>
          </w:tcPr>
          <w:p w14:paraId="484633E0" w14:textId="4AA94ACD" w:rsidR="00866092" w:rsidRDefault="00866092" w:rsidP="00911E18">
            <w:pPr>
              <w:jc w:val="center"/>
              <w:rPr>
                <w:color w:val="000000"/>
              </w:rPr>
            </w:pPr>
            <w:r>
              <w:rPr>
                <w:color w:val="000000"/>
              </w:rPr>
              <w:t>2.36 (5.5)</w:t>
            </w:r>
          </w:p>
        </w:tc>
        <w:tc>
          <w:tcPr>
            <w:tcW w:w="1577" w:type="dxa"/>
            <w:tcBorders>
              <w:top w:val="single" w:sz="4" w:space="0" w:color="auto"/>
            </w:tcBorders>
            <w:shd w:val="clear" w:color="auto" w:fill="auto"/>
            <w:vAlign w:val="center"/>
            <w:hideMark/>
          </w:tcPr>
          <w:p w14:paraId="484100FA" w14:textId="32EF05C8" w:rsidR="00866092" w:rsidRDefault="00866092" w:rsidP="00911E18">
            <w:pPr>
              <w:jc w:val="center"/>
              <w:rPr>
                <w:color w:val="000000"/>
              </w:rPr>
            </w:pPr>
            <w:r>
              <w:rPr>
                <w:color w:val="000000"/>
                <w:lang w:val="en-GB"/>
              </w:rPr>
              <w:t>0.25 (.34)</w:t>
            </w:r>
          </w:p>
        </w:tc>
        <w:tc>
          <w:tcPr>
            <w:tcW w:w="1578" w:type="dxa"/>
            <w:tcBorders>
              <w:top w:val="single" w:sz="4" w:space="0" w:color="auto"/>
            </w:tcBorders>
            <w:vAlign w:val="center"/>
          </w:tcPr>
          <w:p w14:paraId="2A1123D8" w14:textId="7DCA3948" w:rsidR="00866092" w:rsidRPr="0004105B" w:rsidRDefault="00C84518" w:rsidP="00C84518">
            <w:pPr>
              <w:jc w:val="center"/>
              <w:rPr>
                <w:color w:val="000000"/>
                <w:lang w:val="en-GB"/>
              </w:rPr>
            </w:pPr>
            <w:r>
              <w:rPr>
                <w:color w:val="000000"/>
                <w:lang w:val="en-GB"/>
              </w:rPr>
              <w:t>-0.</w:t>
            </w:r>
            <w:r w:rsidR="00866092">
              <w:rPr>
                <w:color w:val="000000"/>
                <w:lang w:val="en-GB"/>
              </w:rPr>
              <w:t>1</w:t>
            </w:r>
            <w:r>
              <w:rPr>
                <w:color w:val="000000"/>
                <w:lang w:val="en-GB"/>
              </w:rPr>
              <w:t>9</w:t>
            </w:r>
            <w:r w:rsidR="00866092">
              <w:rPr>
                <w:color w:val="000000"/>
                <w:lang w:val="en-GB"/>
              </w:rPr>
              <w:t xml:space="preserve"> (</w:t>
            </w:r>
            <w:r>
              <w:rPr>
                <w:color w:val="000000"/>
                <w:lang w:val="en-GB"/>
              </w:rPr>
              <w:t>.24</w:t>
            </w:r>
            <w:r w:rsidR="00866092">
              <w:rPr>
                <w:color w:val="000000"/>
                <w:lang w:val="en-GB"/>
              </w:rPr>
              <w:t>)</w:t>
            </w:r>
          </w:p>
        </w:tc>
        <w:tc>
          <w:tcPr>
            <w:tcW w:w="1578" w:type="dxa"/>
            <w:tcBorders>
              <w:top w:val="single" w:sz="4" w:space="0" w:color="auto"/>
            </w:tcBorders>
            <w:shd w:val="clear" w:color="auto" w:fill="auto"/>
            <w:vAlign w:val="center"/>
            <w:hideMark/>
          </w:tcPr>
          <w:p w14:paraId="29DDD185" w14:textId="3FCAFF90" w:rsidR="00866092" w:rsidRPr="0004105B" w:rsidRDefault="00702051" w:rsidP="00911E18">
            <w:pPr>
              <w:jc w:val="center"/>
              <w:rPr>
                <w:sz w:val="20"/>
                <w:szCs w:val="20"/>
              </w:rPr>
            </w:pPr>
            <w:r>
              <w:rPr>
                <w:color w:val="000000"/>
              </w:rPr>
              <w:t>0.07 (.77)</w:t>
            </w:r>
          </w:p>
        </w:tc>
        <w:tc>
          <w:tcPr>
            <w:tcW w:w="162" w:type="dxa"/>
            <w:tcBorders>
              <w:top w:val="nil"/>
              <w:bottom w:val="nil"/>
            </w:tcBorders>
            <w:shd w:val="clear" w:color="auto" w:fill="auto"/>
            <w:vAlign w:val="center"/>
          </w:tcPr>
          <w:p w14:paraId="615C2592" w14:textId="77777777" w:rsidR="00866092" w:rsidRPr="0004105B" w:rsidRDefault="00866092" w:rsidP="001E43B5">
            <w:pPr>
              <w:jc w:val="center"/>
              <w:rPr>
                <w:color w:val="000000"/>
              </w:rPr>
            </w:pPr>
          </w:p>
        </w:tc>
        <w:tc>
          <w:tcPr>
            <w:tcW w:w="2150" w:type="dxa"/>
            <w:gridSpan w:val="3"/>
            <w:tcBorders>
              <w:top w:val="single" w:sz="4" w:space="0" w:color="auto"/>
            </w:tcBorders>
            <w:shd w:val="clear" w:color="auto" w:fill="auto"/>
            <w:vAlign w:val="center"/>
            <w:hideMark/>
          </w:tcPr>
          <w:p w14:paraId="62F3F5CB" w14:textId="36366F64" w:rsidR="00866092" w:rsidRDefault="00866092" w:rsidP="00911E18">
            <w:pPr>
              <w:jc w:val="center"/>
              <w:rPr>
                <w:color w:val="000000"/>
              </w:rPr>
            </w:pPr>
            <w:r>
              <w:rPr>
                <w:color w:val="000000"/>
              </w:rPr>
              <w:t>13.4% (73/545)</w:t>
            </w:r>
          </w:p>
        </w:tc>
        <w:tc>
          <w:tcPr>
            <w:tcW w:w="1451" w:type="dxa"/>
            <w:tcBorders>
              <w:top w:val="single" w:sz="4" w:space="0" w:color="auto"/>
            </w:tcBorders>
            <w:shd w:val="clear" w:color="auto" w:fill="auto"/>
            <w:vAlign w:val="center"/>
            <w:hideMark/>
          </w:tcPr>
          <w:p w14:paraId="44294E9A" w14:textId="48197536" w:rsidR="00866092" w:rsidRDefault="00866092" w:rsidP="00911E18">
            <w:pPr>
              <w:jc w:val="center"/>
              <w:rPr>
                <w:color w:val="000000"/>
              </w:rPr>
            </w:pPr>
            <w:r>
              <w:rPr>
                <w:color w:val="000000"/>
                <w:lang w:val="en-GB"/>
              </w:rPr>
              <w:t>1.18 (.16)</w:t>
            </w:r>
          </w:p>
        </w:tc>
        <w:tc>
          <w:tcPr>
            <w:tcW w:w="1624" w:type="dxa"/>
            <w:tcBorders>
              <w:top w:val="single" w:sz="4" w:space="0" w:color="auto"/>
            </w:tcBorders>
            <w:vAlign w:val="center"/>
          </w:tcPr>
          <w:p w14:paraId="7FB94C53" w14:textId="5CCAA1FC" w:rsidR="00866092" w:rsidRDefault="009265E3" w:rsidP="00911E18">
            <w:pPr>
              <w:jc w:val="center"/>
              <w:rPr>
                <w:sz w:val="20"/>
                <w:szCs w:val="20"/>
              </w:rPr>
            </w:pPr>
            <w:r>
              <w:rPr>
                <w:color w:val="000000"/>
                <w:lang w:val="en-GB"/>
              </w:rPr>
              <w:t>0.96 (.76</w:t>
            </w:r>
            <w:r w:rsidR="00866092">
              <w:rPr>
                <w:color w:val="000000"/>
                <w:lang w:val="en-GB"/>
              </w:rPr>
              <w:t>)</w:t>
            </w:r>
          </w:p>
        </w:tc>
        <w:tc>
          <w:tcPr>
            <w:tcW w:w="1445" w:type="dxa"/>
            <w:gridSpan w:val="2"/>
            <w:tcBorders>
              <w:top w:val="single" w:sz="4" w:space="0" w:color="auto"/>
            </w:tcBorders>
            <w:shd w:val="clear" w:color="auto" w:fill="auto"/>
            <w:vAlign w:val="bottom"/>
            <w:hideMark/>
          </w:tcPr>
          <w:p w14:paraId="02B1F8F4" w14:textId="7D7F2823" w:rsidR="00866092" w:rsidRPr="00702051" w:rsidRDefault="00702051" w:rsidP="00702051">
            <w:pPr>
              <w:jc w:val="center"/>
              <w:rPr>
                <w:color w:val="000000"/>
              </w:rPr>
            </w:pPr>
            <w:r w:rsidRPr="00702051">
              <w:rPr>
                <w:color w:val="000000"/>
              </w:rPr>
              <w:t>1.32 (.02)</w:t>
            </w:r>
          </w:p>
        </w:tc>
      </w:tr>
      <w:tr w:rsidR="00866092" w14:paraId="6D5EF6F0" w14:textId="77777777" w:rsidTr="00702051">
        <w:trPr>
          <w:trHeight w:val="650"/>
        </w:trPr>
        <w:tc>
          <w:tcPr>
            <w:tcW w:w="1852" w:type="dxa"/>
            <w:shd w:val="clear" w:color="auto" w:fill="auto"/>
            <w:vAlign w:val="center"/>
            <w:hideMark/>
          </w:tcPr>
          <w:p w14:paraId="1A1A83DC" w14:textId="77777777" w:rsidR="00866092" w:rsidRDefault="00866092" w:rsidP="00911E18">
            <w:pPr>
              <w:rPr>
                <w:color w:val="000000"/>
              </w:rPr>
            </w:pPr>
            <w:r>
              <w:rPr>
                <w:color w:val="000000"/>
                <w:lang w:val="en-GB"/>
              </w:rPr>
              <w:t xml:space="preserve">SNE </w:t>
            </w:r>
          </w:p>
        </w:tc>
        <w:tc>
          <w:tcPr>
            <w:tcW w:w="1581" w:type="dxa"/>
            <w:shd w:val="clear" w:color="auto" w:fill="auto"/>
            <w:vAlign w:val="center"/>
            <w:hideMark/>
          </w:tcPr>
          <w:p w14:paraId="06415C40" w14:textId="45DEDFA3" w:rsidR="00866092" w:rsidRDefault="00866092" w:rsidP="00911E18">
            <w:pPr>
              <w:jc w:val="center"/>
              <w:rPr>
                <w:color w:val="000000"/>
              </w:rPr>
            </w:pPr>
            <w:r>
              <w:rPr>
                <w:color w:val="000000"/>
              </w:rPr>
              <w:t>2.43 (5.6)</w:t>
            </w:r>
          </w:p>
        </w:tc>
        <w:tc>
          <w:tcPr>
            <w:tcW w:w="1577" w:type="dxa"/>
            <w:shd w:val="clear" w:color="auto" w:fill="auto"/>
            <w:vAlign w:val="center"/>
            <w:hideMark/>
          </w:tcPr>
          <w:p w14:paraId="147CC81D" w14:textId="17EED508" w:rsidR="00866092" w:rsidRDefault="00866092" w:rsidP="00911E18">
            <w:pPr>
              <w:jc w:val="center"/>
              <w:rPr>
                <w:color w:val="000000"/>
              </w:rPr>
            </w:pPr>
          </w:p>
        </w:tc>
        <w:tc>
          <w:tcPr>
            <w:tcW w:w="1578" w:type="dxa"/>
            <w:vAlign w:val="center"/>
          </w:tcPr>
          <w:p w14:paraId="7A838DFE" w14:textId="77777777" w:rsidR="00866092" w:rsidRPr="0004105B" w:rsidRDefault="00866092" w:rsidP="00C84518">
            <w:pPr>
              <w:jc w:val="center"/>
              <w:rPr>
                <w:color w:val="000000"/>
              </w:rPr>
            </w:pPr>
          </w:p>
        </w:tc>
        <w:tc>
          <w:tcPr>
            <w:tcW w:w="1578" w:type="dxa"/>
            <w:shd w:val="clear" w:color="auto" w:fill="auto"/>
            <w:vAlign w:val="center"/>
            <w:hideMark/>
          </w:tcPr>
          <w:p w14:paraId="653D4D8B" w14:textId="69BB0AC8" w:rsidR="009D08DE" w:rsidRPr="0004105B" w:rsidRDefault="009D08DE" w:rsidP="00702051">
            <w:pPr>
              <w:rPr>
                <w:color w:val="000000"/>
              </w:rPr>
            </w:pPr>
          </w:p>
        </w:tc>
        <w:tc>
          <w:tcPr>
            <w:tcW w:w="162" w:type="dxa"/>
            <w:tcBorders>
              <w:top w:val="nil"/>
            </w:tcBorders>
            <w:shd w:val="clear" w:color="auto" w:fill="auto"/>
            <w:vAlign w:val="center"/>
          </w:tcPr>
          <w:p w14:paraId="3276C3E3" w14:textId="77777777" w:rsidR="00866092" w:rsidRPr="0004105B" w:rsidRDefault="00866092" w:rsidP="001E43B5">
            <w:pPr>
              <w:jc w:val="center"/>
              <w:rPr>
                <w:color w:val="000000"/>
              </w:rPr>
            </w:pPr>
          </w:p>
        </w:tc>
        <w:tc>
          <w:tcPr>
            <w:tcW w:w="2150" w:type="dxa"/>
            <w:gridSpan w:val="3"/>
            <w:shd w:val="clear" w:color="auto" w:fill="auto"/>
            <w:vAlign w:val="center"/>
            <w:hideMark/>
          </w:tcPr>
          <w:p w14:paraId="2DAD8028" w14:textId="271A2E81" w:rsidR="00866092" w:rsidRDefault="00866092" w:rsidP="00911E18">
            <w:pPr>
              <w:jc w:val="center"/>
              <w:rPr>
                <w:color w:val="000000"/>
              </w:rPr>
            </w:pPr>
            <w:r>
              <w:rPr>
                <w:color w:val="000000"/>
              </w:rPr>
              <w:t>18.1% (29/160)</w:t>
            </w:r>
          </w:p>
        </w:tc>
        <w:tc>
          <w:tcPr>
            <w:tcW w:w="1451" w:type="dxa"/>
            <w:shd w:val="clear" w:color="auto" w:fill="auto"/>
            <w:vAlign w:val="center"/>
            <w:hideMark/>
          </w:tcPr>
          <w:p w14:paraId="741A5991" w14:textId="775D707C" w:rsidR="00866092" w:rsidRDefault="00866092" w:rsidP="00911E18">
            <w:pPr>
              <w:jc w:val="center"/>
              <w:rPr>
                <w:color w:val="000000"/>
              </w:rPr>
            </w:pPr>
          </w:p>
        </w:tc>
        <w:tc>
          <w:tcPr>
            <w:tcW w:w="1624" w:type="dxa"/>
            <w:vAlign w:val="center"/>
          </w:tcPr>
          <w:p w14:paraId="31EB041E" w14:textId="6B12E6E2" w:rsidR="00866092" w:rsidRDefault="00866092" w:rsidP="00911E18">
            <w:pPr>
              <w:jc w:val="center"/>
              <w:rPr>
                <w:color w:val="000000"/>
              </w:rPr>
            </w:pPr>
          </w:p>
        </w:tc>
        <w:tc>
          <w:tcPr>
            <w:tcW w:w="1445" w:type="dxa"/>
            <w:gridSpan w:val="2"/>
            <w:shd w:val="clear" w:color="auto" w:fill="auto"/>
            <w:vAlign w:val="center"/>
            <w:hideMark/>
          </w:tcPr>
          <w:p w14:paraId="2009B0DE" w14:textId="36133C29" w:rsidR="0071570E" w:rsidRPr="00702051" w:rsidRDefault="0071570E" w:rsidP="00702051">
            <w:pPr>
              <w:rPr>
                <w:color w:val="000000"/>
              </w:rPr>
            </w:pPr>
          </w:p>
        </w:tc>
      </w:tr>
      <w:tr w:rsidR="00866092" w14:paraId="099D3EF9" w14:textId="77777777" w:rsidTr="00702051">
        <w:trPr>
          <w:trHeight w:val="401"/>
        </w:trPr>
        <w:tc>
          <w:tcPr>
            <w:tcW w:w="1852" w:type="dxa"/>
            <w:shd w:val="clear" w:color="auto" w:fill="auto"/>
            <w:vAlign w:val="center"/>
            <w:hideMark/>
          </w:tcPr>
          <w:p w14:paraId="6F3457DC" w14:textId="77777777" w:rsidR="00866092" w:rsidRDefault="00866092" w:rsidP="00911E18">
            <w:pPr>
              <w:rPr>
                <w:color w:val="000000"/>
              </w:rPr>
            </w:pPr>
            <w:r>
              <w:rPr>
                <w:color w:val="000000"/>
                <w:lang w:val="en-GB"/>
              </w:rPr>
              <w:t>SE (Ref.)</w:t>
            </w:r>
          </w:p>
        </w:tc>
        <w:tc>
          <w:tcPr>
            <w:tcW w:w="1581" w:type="dxa"/>
            <w:shd w:val="clear" w:color="auto" w:fill="auto"/>
            <w:vAlign w:val="center"/>
            <w:hideMark/>
          </w:tcPr>
          <w:p w14:paraId="461B8ABB" w14:textId="3BCB40E9" w:rsidR="00866092" w:rsidRDefault="00866092" w:rsidP="00911E18">
            <w:pPr>
              <w:jc w:val="center"/>
              <w:rPr>
                <w:color w:val="000000"/>
              </w:rPr>
            </w:pPr>
            <w:r>
              <w:rPr>
                <w:color w:val="000000"/>
              </w:rPr>
              <w:t>2.36 (5.5)</w:t>
            </w:r>
          </w:p>
        </w:tc>
        <w:tc>
          <w:tcPr>
            <w:tcW w:w="1577" w:type="dxa"/>
            <w:shd w:val="clear" w:color="auto" w:fill="auto"/>
            <w:vAlign w:val="center"/>
            <w:hideMark/>
          </w:tcPr>
          <w:p w14:paraId="29A612DC" w14:textId="16BD8A8C" w:rsidR="00866092" w:rsidRDefault="00866092" w:rsidP="00911E18">
            <w:pPr>
              <w:jc w:val="center"/>
              <w:rPr>
                <w:color w:val="000000"/>
              </w:rPr>
            </w:pPr>
            <w:r>
              <w:rPr>
                <w:color w:val="000000"/>
                <w:lang w:val="en-GB"/>
              </w:rPr>
              <w:t>0.52 (.01)</w:t>
            </w:r>
          </w:p>
        </w:tc>
        <w:tc>
          <w:tcPr>
            <w:tcW w:w="1578" w:type="dxa"/>
            <w:vAlign w:val="center"/>
          </w:tcPr>
          <w:p w14:paraId="115542C4" w14:textId="420064AB" w:rsidR="00866092" w:rsidRPr="0004105B" w:rsidRDefault="00C84518" w:rsidP="00C84518">
            <w:pPr>
              <w:jc w:val="center"/>
              <w:rPr>
                <w:color w:val="000000"/>
              </w:rPr>
            </w:pPr>
            <w:r>
              <w:rPr>
                <w:color w:val="000000"/>
              </w:rPr>
              <w:t>0.14</w:t>
            </w:r>
            <w:r w:rsidR="00866092">
              <w:rPr>
                <w:color w:val="000000"/>
              </w:rPr>
              <w:t xml:space="preserve"> </w:t>
            </w:r>
            <w:r w:rsidR="00866092">
              <w:rPr>
                <w:color w:val="000000"/>
                <w:lang w:val="en-GB"/>
              </w:rPr>
              <w:t>(0.</w:t>
            </w:r>
            <w:r>
              <w:rPr>
                <w:color w:val="000000"/>
                <w:lang w:val="en-GB"/>
              </w:rPr>
              <w:t>32</w:t>
            </w:r>
            <w:r w:rsidR="00866092">
              <w:rPr>
                <w:color w:val="000000"/>
                <w:lang w:val="en-GB"/>
              </w:rPr>
              <w:t>)</w:t>
            </w:r>
          </w:p>
        </w:tc>
        <w:tc>
          <w:tcPr>
            <w:tcW w:w="1578" w:type="dxa"/>
            <w:shd w:val="clear" w:color="auto" w:fill="auto"/>
            <w:vAlign w:val="center"/>
            <w:hideMark/>
          </w:tcPr>
          <w:p w14:paraId="7FEB6E67" w14:textId="79511408" w:rsidR="00866092" w:rsidRPr="0004105B" w:rsidRDefault="00702051" w:rsidP="00911E18">
            <w:pPr>
              <w:jc w:val="center"/>
              <w:rPr>
                <w:sz w:val="20"/>
                <w:szCs w:val="20"/>
              </w:rPr>
            </w:pPr>
            <w:r>
              <w:rPr>
                <w:color w:val="000000"/>
              </w:rPr>
              <w:t>0.40 (.04)</w:t>
            </w:r>
          </w:p>
        </w:tc>
        <w:tc>
          <w:tcPr>
            <w:tcW w:w="162" w:type="dxa"/>
            <w:shd w:val="clear" w:color="auto" w:fill="auto"/>
            <w:vAlign w:val="center"/>
          </w:tcPr>
          <w:p w14:paraId="35D9D618" w14:textId="77777777" w:rsidR="00866092" w:rsidRPr="0004105B" w:rsidRDefault="00866092" w:rsidP="001E43B5">
            <w:pPr>
              <w:jc w:val="center"/>
              <w:rPr>
                <w:color w:val="000000"/>
              </w:rPr>
            </w:pPr>
          </w:p>
        </w:tc>
        <w:tc>
          <w:tcPr>
            <w:tcW w:w="2150" w:type="dxa"/>
            <w:gridSpan w:val="3"/>
            <w:shd w:val="clear" w:color="auto" w:fill="auto"/>
            <w:vAlign w:val="center"/>
            <w:hideMark/>
          </w:tcPr>
          <w:p w14:paraId="7E923B79" w14:textId="114597B6" w:rsidR="00866092" w:rsidRDefault="00866092" w:rsidP="00911E18">
            <w:pPr>
              <w:jc w:val="center"/>
              <w:rPr>
                <w:color w:val="000000"/>
              </w:rPr>
            </w:pPr>
            <w:r>
              <w:rPr>
                <w:color w:val="000000"/>
              </w:rPr>
              <w:t>13.4% (73/545)</w:t>
            </w:r>
          </w:p>
        </w:tc>
        <w:tc>
          <w:tcPr>
            <w:tcW w:w="1451" w:type="dxa"/>
            <w:shd w:val="clear" w:color="auto" w:fill="auto"/>
            <w:vAlign w:val="center"/>
            <w:hideMark/>
          </w:tcPr>
          <w:p w14:paraId="4B0097FA" w14:textId="13B284F7" w:rsidR="00866092" w:rsidRDefault="00866092" w:rsidP="00911E18">
            <w:pPr>
              <w:jc w:val="center"/>
              <w:rPr>
                <w:color w:val="000000"/>
              </w:rPr>
            </w:pPr>
            <w:r>
              <w:rPr>
                <w:color w:val="000000"/>
                <w:lang w:val="en-GB"/>
              </w:rPr>
              <w:t>1.05 (.58)</w:t>
            </w:r>
          </w:p>
        </w:tc>
        <w:tc>
          <w:tcPr>
            <w:tcW w:w="1624" w:type="dxa"/>
            <w:vAlign w:val="center"/>
          </w:tcPr>
          <w:p w14:paraId="70D337F2" w14:textId="13CA8DBE" w:rsidR="00866092" w:rsidRDefault="009265E3" w:rsidP="00911E18">
            <w:pPr>
              <w:jc w:val="center"/>
              <w:rPr>
                <w:sz w:val="20"/>
                <w:szCs w:val="20"/>
              </w:rPr>
            </w:pPr>
            <w:r>
              <w:rPr>
                <w:color w:val="000000"/>
                <w:lang w:val="en-GB"/>
              </w:rPr>
              <w:t>0.97 (.77</w:t>
            </w:r>
            <w:r w:rsidR="00866092">
              <w:rPr>
                <w:color w:val="000000"/>
                <w:lang w:val="en-GB"/>
              </w:rPr>
              <w:t>)</w:t>
            </w:r>
          </w:p>
        </w:tc>
        <w:tc>
          <w:tcPr>
            <w:tcW w:w="1445" w:type="dxa"/>
            <w:gridSpan w:val="2"/>
            <w:shd w:val="clear" w:color="auto" w:fill="auto"/>
            <w:vAlign w:val="center"/>
            <w:hideMark/>
          </w:tcPr>
          <w:p w14:paraId="72162EDB" w14:textId="05A0D409" w:rsidR="00866092" w:rsidRPr="00702051" w:rsidRDefault="00866092" w:rsidP="00911E18">
            <w:pPr>
              <w:jc w:val="center"/>
              <w:rPr>
                <w:sz w:val="20"/>
                <w:szCs w:val="20"/>
              </w:rPr>
            </w:pPr>
            <w:r w:rsidRPr="00702051">
              <w:rPr>
                <w:color w:val="000000"/>
              </w:rPr>
              <w:t>1.11 (.21)</w:t>
            </w:r>
          </w:p>
        </w:tc>
      </w:tr>
      <w:tr w:rsidR="00866092" w14:paraId="69A26945" w14:textId="77777777" w:rsidTr="00702051">
        <w:trPr>
          <w:trHeight w:val="451"/>
        </w:trPr>
        <w:tc>
          <w:tcPr>
            <w:tcW w:w="1852" w:type="dxa"/>
            <w:shd w:val="clear" w:color="auto" w:fill="auto"/>
            <w:vAlign w:val="center"/>
            <w:hideMark/>
          </w:tcPr>
          <w:p w14:paraId="70859ED6" w14:textId="77777777" w:rsidR="00866092" w:rsidRDefault="00866092" w:rsidP="00911E18">
            <w:pPr>
              <w:rPr>
                <w:color w:val="000000"/>
              </w:rPr>
            </w:pPr>
            <w:r>
              <w:rPr>
                <w:color w:val="000000"/>
                <w:lang w:val="en-GB"/>
              </w:rPr>
              <w:t>DE</w:t>
            </w:r>
          </w:p>
        </w:tc>
        <w:tc>
          <w:tcPr>
            <w:tcW w:w="1581" w:type="dxa"/>
            <w:shd w:val="clear" w:color="auto" w:fill="auto"/>
            <w:vAlign w:val="center"/>
            <w:hideMark/>
          </w:tcPr>
          <w:p w14:paraId="512B636A" w14:textId="22244702" w:rsidR="00866092" w:rsidRDefault="00866092" w:rsidP="00911E18">
            <w:pPr>
              <w:jc w:val="center"/>
              <w:rPr>
                <w:color w:val="000000"/>
              </w:rPr>
            </w:pPr>
            <w:r>
              <w:rPr>
                <w:color w:val="000000"/>
              </w:rPr>
              <w:t>3.44 (7.1)</w:t>
            </w:r>
          </w:p>
        </w:tc>
        <w:tc>
          <w:tcPr>
            <w:tcW w:w="1577" w:type="dxa"/>
            <w:shd w:val="clear" w:color="auto" w:fill="auto"/>
            <w:vAlign w:val="center"/>
            <w:hideMark/>
          </w:tcPr>
          <w:p w14:paraId="0891B41A" w14:textId="1D661A70" w:rsidR="00866092" w:rsidRDefault="00866092" w:rsidP="00911E18">
            <w:pPr>
              <w:jc w:val="center"/>
              <w:rPr>
                <w:color w:val="000000"/>
              </w:rPr>
            </w:pPr>
          </w:p>
        </w:tc>
        <w:tc>
          <w:tcPr>
            <w:tcW w:w="1578" w:type="dxa"/>
            <w:vAlign w:val="center"/>
          </w:tcPr>
          <w:p w14:paraId="02BAECEA" w14:textId="77777777" w:rsidR="00866092" w:rsidRPr="0004105B" w:rsidRDefault="00866092" w:rsidP="00C84518">
            <w:pPr>
              <w:jc w:val="center"/>
              <w:rPr>
                <w:color w:val="000000"/>
              </w:rPr>
            </w:pPr>
          </w:p>
        </w:tc>
        <w:tc>
          <w:tcPr>
            <w:tcW w:w="1578" w:type="dxa"/>
            <w:shd w:val="clear" w:color="auto" w:fill="auto"/>
            <w:vAlign w:val="center"/>
            <w:hideMark/>
          </w:tcPr>
          <w:p w14:paraId="7CCA35A8" w14:textId="67828B06" w:rsidR="009D08DE" w:rsidRPr="0004105B" w:rsidRDefault="009D08DE" w:rsidP="00911E18">
            <w:pPr>
              <w:jc w:val="center"/>
              <w:rPr>
                <w:color w:val="000000"/>
              </w:rPr>
            </w:pPr>
          </w:p>
        </w:tc>
        <w:tc>
          <w:tcPr>
            <w:tcW w:w="162" w:type="dxa"/>
            <w:shd w:val="clear" w:color="auto" w:fill="auto"/>
            <w:vAlign w:val="center"/>
          </w:tcPr>
          <w:p w14:paraId="22B8F608" w14:textId="77777777" w:rsidR="00866092" w:rsidRPr="0004105B" w:rsidRDefault="00866092" w:rsidP="001E43B5">
            <w:pPr>
              <w:jc w:val="center"/>
              <w:rPr>
                <w:color w:val="000000"/>
              </w:rPr>
            </w:pPr>
          </w:p>
        </w:tc>
        <w:tc>
          <w:tcPr>
            <w:tcW w:w="2150" w:type="dxa"/>
            <w:gridSpan w:val="3"/>
            <w:shd w:val="clear" w:color="auto" w:fill="auto"/>
            <w:vAlign w:val="center"/>
            <w:hideMark/>
          </w:tcPr>
          <w:p w14:paraId="7058F332" w14:textId="00F71A4F" w:rsidR="00866092" w:rsidRDefault="00866092" w:rsidP="00911E18">
            <w:pPr>
              <w:jc w:val="center"/>
              <w:rPr>
                <w:color w:val="000000"/>
              </w:rPr>
            </w:pPr>
            <w:r>
              <w:rPr>
                <w:color w:val="000000"/>
              </w:rPr>
              <w:t>14.5% (54/373)</w:t>
            </w:r>
          </w:p>
        </w:tc>
        <w:tc>
          <w:tcPr>
            <w:tcW w:w="1451" w:type="dxa"/>
            <w:shd w:val="clear" w:color="auto" w:fill="auto"/>
            <w:vAlign w:val="center"/>
            <w:hideMark/>
          </w:tcPr>
          <w:p w14:paraId="1F76B748" w14:textId="59979CE7" w:rsidR="00866092" w:rsidRDefault="00866092" w:rsidP="00911E18">
            <w:pPr>
              <w:jc w:val="center"/>
              <w:rPr>
                <w:color w:val="000000"/>
              </w:rPr>
            </w:pPr>
          </w:p>
        </w:tc>
        <w:tc>
          <w:tcPr>
            <w:tcW w:w="1624" w:type="dxa"/>
            <w:vAlign w:val="center"/>
          </w:tcPr>
          <w:p w14:paraId="28621136" w14:textId="310BCFF3" w:rsidR="00866092" w:rsidRDefault="00866092" w:rsidP="00911E18">
            <w:pPr>
              <w:jc w:val="center"/>
              <w:rPr>
                <w:color w:val="000000"/>
              </w:rPr>
            </w:pPr>
          </w:p>
        </w:tc>
        <w:tc>
          <w:tcPr>
            <w:tcW w:w="1445" w:type="dxa"/>
            <w:gridSpan w:val="2"/>
            <w:shd w:val="clear" w:color="auto" w:fill="auto"/>
            <w:vAlign w:val="center"/>
            <w:hideMark/>
          </w:tcPr>
          <w:p w14:paraId="553B061B" w14:textId="600EE27A" w:rsidR="0071570E" w:rsidRPr="00702051" w:rsidRDefault="0071570E" w:rsidP="00702051">
            <w:pPr>
              <w:jc w:val="center"/>
              <w:rPr>
                <w:color w:val="000000"/>
              </w:rPr>
            </w:pPr>
          </w:p>
        </w:tc>
      </w:tr>
      <w:tr w:rsidR="00866092" w14:paraId="31CE16FC" w14:textId="77777777" w:rsidTr="00702051">
        <w:trPr>
          <w:trHeight w:val="429"/>
        </w:trPr>
        <w:tc>
          <w:tcPr>
            <w:tcW w:w="1852" w:type="dxa"/>
            <w:shd w:val="clear" w:color="auto" w:fill="auto"/>
            <w:vAlign w:val="center"/>
            <w:hideMark/>
          </w:tcPr>
          <w:p w14:paraId="16AD69FD" w14:textId="77777777" w:rsidR="00866092" w:rsidRDefault="00866092" w:rsidP="00911E18">
            <w:pPr>
              <w:rPr>
                <w:color w:val="000000"/>
              </w:rPr>
            </w:pPr>
            <w:r>
              <w:rPr>
                <w:color w:val="000000"/>
                <w:lang w:val="en-GB"/>
              </w:rPr>
              <w:t>SNE (Ref.)</w:t>
            </w:r>
          </w:p>
        </w:tc>
        <w:tc>
          <w:tcPr>
            <w:tcW w:w="1581" w:type="dxa"/>
            <w:shd w:val="clear" w:color="auto" w:fill="auto"/>
            <w:vAlign w:val="center"/>
            <w:hideMark/>
          </w:tcPr>
          <w:p w14:paraId="15C7D44C" w14:textId="0B80DDCC" w:rsidR="00866092" w:rsidRDefault="00866092" w:rsidP="00911E18">
            <w:pPr>
              <w:jc w:val="center"/>
              <w:rPr>
                <w:color w:val="000000"/>
              </w:rPr>
            </w:pPr>
            <w:r>
              <w:rPr>
                <w:color w:val="000000"/>
              </w:rPr>
              <w:t>2.43 (5.6)</w:t>
            </w:r>
          </w:p>
        </w:tc>
        <w:tc>
          <w:tcPr>
            <w:tcW w:w="1577" w:type="dxa"/>
            <w:shd w:val="clear" w:color="auto" w:fill="auto"/>
            <w:vAlign w:val="center"/>
            <w:hideMark/>
          </w:tcPr>
          <w:p w14:paraId="2E2822BB" w14:textId="0078DBE1" w:rsidR="00866092" w:rsidRDefault="00866092" w:rsidP="00911E18">
            <w:pPr>
              <w:jc w:val="center"/>
              <w:rPr>
                <w:color w:val="000000"/>
              </w:rPr>
            </w:pPr>
            <w:r>
              <w:rPr>
                <w:color w:val="000000"/>
                <w:lang w:val="en-GB"/>
              </w:rPr>
              <w:t>0.65 (.02)</w:t>
            </w:r>
          </w:p>
        </w:tc>
        <w:tc>
          <w:tcPr>
            <w:tcW w:w="1578" w:type="dxa"/>
            <w:vAlign w:val="center"/>
          </w:tcPr>
          <w:p w14:paraId="4B714825" w14:textId="1473DCF5" w:rsidR="00866092" w:rsidRPr="0004105B" w:rsidRDefault="00C84518" w:rsidP="00C84518">
            <w:pPr>
              <w:jc w:val="center"/>
              <w:rPr>
                <w:color w:val="000000"/>
              </w:rPr>
            </w:pPr>
            <w:r>
              <w:rPr>
                <w:color w:val="000000"/>
                <w:lang w:val="en-GB"/>
              </w:rPr>
              <w:t>0.43</w:t>
            </w:r>
            <w:r w:rsidR="008E1021">
              <w:rPr>
                <w:color w:val="000000"/>
                <w:lang w:val="en-GB"/>
              </w:rPr>
              <w:t xml:space="preserve"> (0.</w:t>
            </w:r>
            <w:r>
              <w:rPr>
                <w:color w:val="000000"/>
                <w:lang w:val="en-GB"/>
              </w:rPr>
              <w:t>01</w:t>
            </w:r>
            <w:r w:rsidR="008E1021">
              <w:rPr>
                <w:color w:val="000000"/>
                <w:lang w:val="en-GB"/>
              </w:rPr>
              <w:t>)</w:t>
            </w:r>
          </w:p>
        </w:tc>
        <w:tc>
          <w:tcPr>
            <w:tcW w:w="1578" w:type="dxa"/>
            <w:shd w:val="clear" w:color="auto" w:fill="auto"/>
            <w:vAlign w:val="center"/>
            <w:hideMark/>
          </w:tcPr>
          <w:p w14:paraId="42C93FFF" w14:textId="66C1BFC0" w:rsidR="00866092" w:rsidRPr="0004105B" w:rsidRDefault="00702051" w:rsidP="00702051">
            <w:pPr>
              <w:jc w:val="center"/>
              <w:rPr>
                <w:sz w:val="20"/>
                <w:szCs w:val="20"/>
              </w:rPr>
            </w:pPr>
            <w:r>
              <w:rPr>
                <w:color w:val="000000"/>
              </w:rPr>
              <w:t>0.54 (.03)</w:t>
            </w:r>
          </w:p>
        </w:tc>
        <w:tc>
          <w:tcPr>
            <w:tcW w:w="162" w:type="dxa"/>
            <w:shd w:val="clear" w:color="auto" w:fill="auto"/>
            <w:vAlign w:val="center"/>
          </w:tcPr>
          <w:p w14:paraId="5F44E5AC" w14:textId="77777777" w:rsidR="00866092" w:rsidRPr="0004105B" w:rsidRDefault="00866092" w:rsidP="001E43B5">
            <w:pPr>
              <w:jc w:val="center"/>
              <w:rPr>
                <w:color w:val="000000"/>
              </w:rPr>
            </w:pPr>
          </w:p>
        </w:tc>
        <w:tc>
          <w:tcPr>
            <w:tcW w:w="2150" w:type="dxa"/>
            <w:gridSpan w:val="3"/>
            <w:shd w:val="clear" w:color="auto" w:fill="auto"/>
            <w:vAlign w:val="center"/>
            <w:hideMark/>
          </w:tcPr>
          <w:p w14:paraId="13CE154D" w14:textId="2CC366A0" w:rsidR="00866092" w:rsidRDefault="00866092" w:rsidP="00911E18">
            <w:pPr>
              <w:jc w:val="center"/>
              <w:rPr>
                <w:color w:val="000000"/>
              </w:rPr>
            </w:pPr>
            <w:r>
              <w:rPr>
                <w:color w:val="000000"/>
              </w:rPr>
              <w:t>18.1% (29/160)</w:t>
            </w:r>
          </w:p>
        </w:tc>
        <w:tc>
          <w:tcPr>
            <w:tcW w:w="1451" w:type="dxa"/>
            <w:shd w:val="clear" w:color="auto" w:fill="auto"/>
            <w:vAlign w:val="center"/>
            <w:hideMark/>
          </w:tcPr>
          <w:p w14:paraId="6413D8D4" w14:textId="42A3C43B" w:rsidR="00866092" w:rsidRDefault="00866092" w:rsidP="00911E18">
            <w:pPr>
              <w:jc w:val="center"/>
              <w:rPr>
                <w:color w:val="000000"/>
              </w:rPr>
            </w:pPr>
            <w:r>
              <w:rPr>
                <w:color w:val="000000"/>
                <w:lang w:val="en-GB"/>
              </w:rPr>
              <w:t>0.91 (.46)</w:t>
            </w:r>
          </w:p>
        </w:tc>
        <w:tc>
          <w:tcPr>
            <w:tcW w:w="1624" w:type="dxa"/>
            <w:vAlign w:val="center"/>
          </w:tcPr>
          <w:p w14:paraId="68721D25" w14:textId="5D7A1478" w:rsidR="00866092" w:rsidRDefault="009265E3" w:rsidP="00911E18">
            <w:pPr>
              <w:jc w:val="center"/>
              <w:rPr>
                <w:sz w:val="20"/>
                <w:szCs w:val="20"/>
              </w:rPr>
            </w:pPr>
            <w:r>
              <w:rPr>
                <w:color w:val="000000"/>
                <w:lang w:val="en-GB"/>
              </w:rPr>
              <w:t>0.99</w:t>
            </w:r>
            <w:r w:rsidR="00866092">
              <w:rPr>
                <w:color w:val="000000"/>
                <w:lang w:val="en-GB"/>
              </w:rPr>
              <w:t xml:space="preserve"> (.97)</w:t>
            </w:r>
          </w:p>
        </w:tc>
        <w:tc>
          <w:tcPr>
            <w:tcW w:w="1445" w:type="dxa"/>
            <w:gridSpan w:val="2"/>
            <w:shd w:val="clear" w:color="auto" w:fill="auto"/>
            <w:vAlign w:val="center"/>
            <w:hideMark/>
          </w:tcPr>
          <w:p w14:paraId="7CD5165D" w14:textId="358590C0" w:rsidR="00866092" w:rsidRPr="00702051" w:rsidRDefault="00702051" w:rsidP="00911E18">
            <w:pPr>
              <w:jc w:val="center"/>
              <w:rPr>
                <w:sz w:val="20"/>
                <w:szCs w:val="20"/>
              </w:rPr>
            </w:pPr>
            <w:r w:rsidRPr="00702051">
              <w:rPr>
                <w:color w:val="000000"/>
              </w:rPr>
              <w:t>0.87 (.25)</w:t>
            </w:r>
          </w:p>
        </w:tc>
      </w:tr>
      <w:tr w:rsidR="00866092" w14:paraId="723C8779" w14:textId="77777777" w:rsidTr="00702051">
        <w:trPr>
          <w:trHeight w:val="634"/>
        </w:trPr>
        <w:tc>
          <w:tcPr>
            <w:tcW w:w="1852" w:type="dxa"/>
            <w:shd w:val="clear" w:color="auto" w:fill="auto"/>
            <w:vAlign w:val="center"/>
            <w:hideMark/>
          </w:tcPr>
          <w:p w14:paraId="4A549F5B" w14:textId="77777777" w:rsidR="00866092" w:rsidRDefault="00866092" w:rsidP="00911E18">
            <w:pPr>
              <w:rPr>
                <w:color w:val="000000"/>
              </w:rPr>
            </w:pPr>
            <w:r>
              <w:rPr>
                <w:color w:val="000000"/>
                <w:lang w:val="en-GB"/>
              </w:rPr>
              <w:t>DE</w:t>
            </w:r>
          </w:p>
        </w:tc>
        <w:tc>
          <w:tcPr>
            <w:tcW w:w="1581" w:type="dxa"/>
            <w:shd w:val="clear" w:color="auto" w:fill="auto"/>
            <w:vAlign w:val="center"/>
            <w:hideMark/>
          </w:tcPr>
          <w:p w14:paraId="2B724FC9" w14:textId="03C73432" w:rsidR="00866092" w:rsidRDefault="00866092" w:rsidP="00911E18">
            <w:pPr>
              <w:jc w:val="center"/>
              <w:rPr>
                <w:color w:val="000000"/>
              </w:rPr>
            </w:pPr>
            <w:r>
              <w:rPr>
                <w:color w:val="000000"/>
              </w:rPr>
              <w:t>3.44 (7.1)</w:t>
            </w:r>
          </w:p>
        </w:tc>
        <w:tc>
          <w:tcPr>
            <w:tcW w:w="1577" w:type="dxa"/>
            <w:shd w:val="clear" w:color="auto" w:fill="auto"/>
            <w:vAlign w:val="center"/>
            <w:hideMark/>
          </w:tcPr>
          <w:p w14:paraId="5B6B90CF" w14:textId="1B8DD0CE" w:rsidR="00866092" w:rsidRDefault="00866092" w:rsidP="00911E18">
            <w:pPr>
              <w:jc w:val="center"/>
              <w:rPr>
                <w:color w:val="000000"/>
              </w:rPr>
            </w:pPr>
          </w:p>
        </w:tc>
        <w:tc>
          <w:tcPr>
            <w:tcW w:w="1578" w:type="dxa"/>
            <w:vAlign w:val="center"/>
          </w:tcPr>
          <w:p w14:paraId="408AA417" w14:textId="77777777" w:rsidR="00866092" w:rsidRPr="0004105B" w:rsidRDefault="00866092" w:rsidP="00C84518">
            <w:pPr>
              <w:jc w:val="center"/>
              <w:rPr>
                <w:color w:val="000000"/>
              </w:rPr>
            </w:pPr>
          </w:p>
        </w:tc>
        <w:tc>
          <w:tcPr>
            <w:tcW w:w="1578" w:type="dxa"/>
            <w:shd w:val="clear" w:color="auto" w:fill="auto"/>
            <w:vAlign w:val="center"/>
            <w:hideMark/>
          </w:tcPr>
          <w:p w14:paraId="695E4791" w14:textId="589E46F7" w:rsidR="00866092" w:rsidRDefault="00866092" w:rsidP="00702051">
            <w:pPr>
              <w:rPr>
                <w:color w:val="000000"/>
              </w:rPr>
            </w:pPr>
          </w:p>
          <w:p w14:paraId="1F189615" w14:textId="3DEA761B" w:rsidR="009D08DE" w:rsidRPr="0004105B" w:rsidRDefault="009D08DE" w:rsidP="00911E18">
            <w:pPr>
              <w:jc w:val="center"/>
              <w:rPr>
                <w:color w:val="000000"/>
              </w:rPr>
            </w:pPr>
          </w:p>
        </w:tc>
        <w:tc>
          <w:tcPr>
            <w:tcW w:w="162" w:type="dxa"/>
            <w:shd w:val="clear" w:color="auto" w:fill="auto"/>
            <w:vAlign w:val="center"/>
          </w:tcPr>
          <w:p w14:paraId="3AA3CC5C" w14:textId="77777777" w:rsidR="00866092" w:rsidRPr="0004105B" w:rsidRDefault="00866092" w:rsidP="001E43B5">
            <w:pPr>
              <w:jc w:val="center"/>
              <w:rPr>
                <w:color w:val="000000"/>
              </w:rPr>
            </w:pPr>
          </w:p>
        </w:tc>
        <w:tc>
          <w:tcPr>
            <w:tcW w:w="2150" w:type="dxa"/>
            <w:gridSpan w:val="3"/>
            <w:shd w:val="clear" w:color="auto" w:fill="auto"/>
            <w:vAlign w:val="center"/>
            <w:hideMark/>
          </w:tcPr>
          <w:p w14:paraId="46116D1A" w14:textId="712BDBFF" w:rsidR="00866092" w:rsidRDefault="00866092" w:rsidP="00911E18">
            <w:pPr>
              <w:jc w:val="center"/>
              <w:rPr>
                <w:color w:val="000000"/>
              </w:rPr>
            </w:pPr>
            <w:r>
              <w:rPr>
                <w:color w:val="000000"/>
              </w:rPr>
              <w:t>14.5% (54/373)</w:t>
            </w:r>
          </w:p>
        </w:tc>
        <w:tc>
          <w:tcPr>
            <w:tcW w:w="1451" w:type="dxa"/>
            <w:shd w:val="clear" w:color="auto" w:fill="auto"/>
            <w:vAlign w:val="center"/>
            <w:hideMark/>
          </w:tcPr>
          <w:p w14:paraId="25934674" w14:textId="4B69C41C" w:rsidR="00866092" w:rsidRDefault="00866092" w:rsidP="00911E18">
            <w:pPr>
              <w:jc w:val="center"/>
              <w:rPr>
                <w:color w:val="000000"/>
              </w:rPr>
            </w:pPr>
          </w:p>
        </w:tc>
        <w:tc>
          <w:tcPr>
            <w:tcW w:w="1624" w:type="dxa"/>
            <w:vAlign w:val="center"/>
          </w:tcPr>
          <w:p w14:paraId="1E0298F9" w14:textId="34EB9957" w:rsidR="00866092" w:rsidRDefault="00866092" w:rsidP="00911E18">
            <w:pPr>
              <w:jc w:val="center"/>
              <w:rPr>
                <w:color w:val="000000"/>
              </w:rPr>
            </w:pPr>
          </w:p>
        </w:tc>
        <w:tc>
          <w:tcPr>
            <w:tcW w:w="1445" w:type="dxa"/>
            <w:gridSpan w:val="2"/>
            <w:shd w:val="clear" w:color="auto" w:fill="auto"/>
            <w:vAlign w:val="center"/>
            <w:hideMark/>
          </w:tcPr>
          <w:p w14:paraId="64B35136" w14:textId="48671460" w:rsidR="00866092" w:rsidRPr="00702051" w:rsidRDefault="00866092" w:rsidP="00911E18">
            <w:pPr>
              <w:jc w:val="center"/>
              <w:rPr>
                <w:color w:val="000000"/>
              </w:rPr>
            </w:pPr>
          </w:p>
        </w:tc>
      </w:tr>
      <w:tr w:rsidR="00866092" w:rsidRPr="00911E18" w14:paraId="038BAD39" w14:textId="77777777" w:rsidTr="00702051">
        <w:trPr>
          <w:trHeight w:val="401"/>
        </w:trPr>
        <w:tc>
          <w:tcPr>
            <w:tcW w:w="1852" w:type="dxa"/>
            <w:shd w:val="clear" w:color="auto" w:fill="auto"/>
            <w:vAlign w:val="center"/>
            <w:hideMark/>
          </w:tcPr>
          <w:p w14:paraId="172618DB" w14:textId="77777777" w:rsidR="00866092" w:rsidRDefault="00866092" w:rsidP="00911E18">
            <w:pPr>
              <w:rPr>
                <w:color w:val="000000"/>
              </w:rPr>
            </w:pPr>
            <w:r>
              <w:rPr>
                <w:color w:val="000000"/>
                <w:lang w:val="en-GB"/>
              </w:rPr>
              <w:t>SE (Ref.)</w:t>
            </w:r>
          </w:p>
        </w:tc>
        <w:tc>
          <w:tcPr>
            <w:tcW w:w="1581" w:type="dxa"/>
            <w:shd w:val="clear" w:color="auto" w:fill="auto"/>
            <w:vAlign w:val="center"/>
            <w:hideMark/>
          </w:tcPr>
          <w:p w14:paraId="2B94529E" w14:textId="51BD6DDC" w:rsidR="00866092" w:rsidRDefault="00866092" w:rsidP="00911E18">
            <w:pPr>
              <w:jc w:val="center"/>
              <w:rPr>
                <w:color w:val="000000"/>
              </w:rPr>
            </w:pPr>
            <w:r>
              <w:rPr>
                <w:color w:val="000000"/>
              </w:rPr>
              <w:t>2.36 (5.5)</w:t>
            </w:r>
          </w:p>
        </w:tc>
        <w:tc>
          <w:tcPr>
            <w:tcW w:w="1577" w:type="dxa"/>
            <w:shd w:val="clear" w:color="auto" w:fill="auto"/>
            <w:vAlign w:val="center"/>
            <w:hideMark/>
          </w:tcPr>
          <w:p w14:paraId="74322EB1" w14:textId="3797F100" w:rsidR="00866092" w:rsidRDefault="00866092" w:rsidP="00911E18">
            <w:pPr>
              <w:jc w:val="center"/>
              <w:rPr>
                <w:color w:val="000000"/>
              </w:rPr>
            </w:pPr>
            <w:r>
              <w:rPr>
                <w:color w:val="000000"/>
                <w:lang w:val="en-GB"/>
              </w:rPr>
              <w:t>0.25 (.046)</w:t>
            </w:r>
          </w:p>
        </w:tc>
        <w:tc>
          <w:tcPr>
            <w:tcW w:w="1578" w:type="dxa"/>
            <w:vAlign w:val="center"/>
          </w:tcPr>
          <w:p w14:paraId="3D484615" w14:textId="4C04BB5E" w:rsidR="00866092" w:rsidRPr="0004105B" w:rsidRDefault="00C84518" w:rsidP="00C84518">
            <w:pPr>
              <w:jc w:val="center"/>
              <w:rPr>
                <w:color w:val="000000"/>
                <w:lang w:val="fr-CH"/>
              </w:rPr>
            </w:pPr>
            <w:r>
              <w:rPr>
                <w:color w:val="000000"/>
                <w:lang w:val="fr-CH"/>
              </w:rPr>
              <w:t>0.00</w:t>
            </w:r>
            <w:r w:rsidR="008E1021">
              <w:rPr>
                <w:color w:val="000000"/>
                <w:lang w:val="fr-CH"/>
              </w:rPr>
              <w:t xml:space="preserve"> </w:t>
            </w:r>
            <w:r w:rsidR="008E1021">
              <w:rPr>
                <w:color w:val="000000"/>
                <w:lang w:val="en-GB"/>
              </w:rPr>
              <w:t>(</w:t>
            </w:r>
            <w:r>
              <w:rPr>
                <w:color w:val="000000"/>
                <w:lang w:val="en-GB"/>
              </w:rPr>
              <w:t>0.99</w:t>
            </w:r>
            <w:r w:rsidR="008E1021">
              <w:rPr>
                <w:color w:val="000000"/>
                <w:lang w:val="en-GB"/>
              </w:rPr>
              <w:t>)</w:t>
            </w:r>
          </w:p>
        </w:tc>
        <w:tc>
          <w:tcPr>
            <w:tcW w:w="1578" w:type="dxa"/>
            <w:shd w:val="clear" w:color="auto" w:fill="auto"/>
            <w:vAlign w:val="center"/>
            <w:hideMark/>
          </w:tcPr>
          <w:p w14:paraId="7006AF3F" w14:textId="5A36B657" w:rsidR="00866092" w:rsidRPr="0004105B" w:rsidRDefault="00702051" w:rsidP="00911E18">
            <w:pPr>
              <w:jc w:val="center"/>
              <w:rPr>
                <w:sz w:val="20"/>
                <w:szCs w:val="20"/>
                <w:lang w:val="fr-CH"/>
              </w:rPr>
            </w:pPr>
            <w:r>
              <w:rPr>
                <w:color w:val="000000"/>
                <w:lang w:val="fr-CH"/>
              </w:rPr>
              <w:t>0.17 (.18)</w:t>
            </w:r>
          </w:p>
        </w:tc>
        <w:tc>
          <w:tcPr>
            <w:tcW w:w="162" w:type="dxa"/>
            <w:shd w:val="clear" w:color="auto" w:fill="auto"/>
            <w:vAlign w:val="center"/>
          </w:tcPr>
          <w:p w14:paraId="11D759EA" w14:textId="77777777" w:rsidR="00866092" w:rsidRPr="0004105B" w:rsidRDefault="00866092" w:rsidP="001E43B5">
            <w:pPr>
              <w:jc w:val="center"/>
              <w:rPr>
                <w:color w:val="000000"/>
                <w:lang w:val="fr-CH"/>
              </w:rPr>
            </w:pPr>
          </w:p>
        </w:tc>
        <w:tc>
          <w:tcPr>
            <w:tcW w:w="2150" w:type="dxa"/>
            <w:gridSpan w:val="3"/>
            <w:shd w:val="clear" w:color="auto" w:fill="auto"/>
            <w:vAlign w:val="center"/>
            <w:hideMark/>
          </w:tcPr>
          <w:p w14:paraId="38DAC148" w14:textId="38E3AFAD" w:rsidR="00866092" w:rsidRPr="0004105B" w:rsidRDefault="00866092" w:rsidP="00911E18">
            <w:pPr>
              <w:jc w:val="center"/>
              <w:rPr>
                <w:color w:val="000000"/>
                <w:lang w:val="fr-CH"/>
              </w:rPr>
            </w:pPr>
            <w:r w:rsidRPr="0004105B">
              <w:rPr>
                <w:color w:val="000000"/>
                <w:lang w:val="fr-CH"/>
              </w:rPr>
              <w:t>13.4% (73/545)</w:t>
            </w:r>
          </w:p>
        </w:tc>
        <w:tc>
          <w:tcPr>
            <w:tcW w:w="1451" w:type="dxa"/>
            <w:shd w:val="clear" w:color="auto" w:fill="auto"/>
            <w:vAlign w:val="center"/>
            <w:hideMark/>
          </w:tcPr>
          <w:p w14:paraId="3B35CAD0" w14:textId="1FABF6BC" w:rsidR="00866092" w:rsidRPr="0004105B" w:rsidRDefault="00866092" w:rsidP="00911E18">
            <w:pPr>
              <w:jc w:val="center"/>
              <w:rPr>
                <w:color w:val="000000"/>
                <w:lang w:val="fr-CH"/>
              </w:rPr>
            </w:pPr>
            <w:r>
              <w:rPr>
                <w:color w:val="000000"/>
                <w:lang w:val="fr-CH"/>
              </w:rPr>
              <w:t>1.06 (.31)</w:t>
            </w:r>
          </w:p>
        </w:tc>
        <w:tc>
          <w:tcPr>
            <w:tcW w:w="1624" w:type="dxa"/>
            <w:vAlign w:val="center"/>
          </w:tcPr>
          <w:p w14:paraId="19B2575F" w14:textId="7BD71A1F" w:rsidR="00866092" w:rsidRPr="00911E18" w:rsidRDefault="009265E3" w:rsidP="00911E18">
            <w:pPr>
              <w:jc w:val="center"/>
              <w:rPr>
                <w:sz w:val="20"/>
                <w:szCs w:val="20"/>
                <w:lang w:val="fr-CH"/>
              </w:rPr>
            </w:pPr>
            <w:r>
              <w:rPr>
                <w:color w:val="000000"/>
                <w:lang w:val="fr-CH"/>
              </w:rPr>
              <w:t>0.98 (.74</w:t>
            </w:r>
            <w:r w:rsidR="00866092">
              <w:rPr>
                <w:color w:val="000000"/>
                <w:lang w:val="fr-CH"/>
              </w:rPr>
              <w:t>)</w:t>
            </w:r>
          </w:p>
        </w:tc>
        <w:tc>
          <w:tcPr>
            <w:tcW w:w="1445" w:type="dxa"/>
            <w:gridSpan w:val="2"/>
            <w:shd w:val="clear" w:color="auto" w:fill="auto"/>
            <w:vAlign w:val="center"/>
            <w:hideMark/>
          </w:tcPr>
          <w:p w14:paraId="69CE87C3" w14:textId="65776D28" w:rsidR="00866092" w:rsidRPr="00702051" w:rsidRDefault="00702051" w:rsidP="00911E18">
            <w:pPr>
              <w:jc w:val="center"/>
              <w:rPr>
                <w:sz w:val="20"/>
                <w:szCs w:val="20"/>
                <w:lang w:val="fr-CH"/>
              </w:rPr>
            </w:pPr>
            <w:r w:rsidRPr="00702051">
              <w:rPr>
                <w:color w:val="000000"/>
                <w:lang w:val="fr-CH"/>
              </w:rPr>
              <w:t>1</w:t>
            </w:r>
            <w:r>
              <w:rPr>
                <w:color w:val="000000"/>
                <w:lang w:val="fr-CH"/>
              </w:rPr>
              <w:t>.09 (</w:t>
            </w:r>
            <w:r w:rsidRPr="00702051">
              <w:rPr>
                <w:color w:val="000000"/>
                <w:lang w:val="fr-CH"/>
              </w:rPr>
              <w:t>.08)</w:t>
            </w:r>
          </w:p>
        </w:tc>
      </w:tr>
      <w:tr w:rsidR="00866092" w:rsidRPr="00911E18" w14:paraId="33190F38" w14:textId="77777777" w:rsidTr="00702051">
        <w:trPr>
          <w:trHeight w:val="825"/>
        </w:trPr>
        <w:tc>
          <w:tcPr>
            <w:tcW w:w="1852" w:type="dxa"/>
            <w:shd w:val="clear" w:color="auto" w:fill="auto"/>
            <w:vAlign w:val="center"/>
            <w:hideMark/>
          </w:tcPr>
          <w:p w14:paraId="208121D3" w14:textId="77777777" w:rsidR="00866092" w:rsidRPr="00911E18" w:rsidRDefault="00866092" w:rsidP="00911E18">
            <w:pPr>
              <w:rPr>
                <w:color w:val="000000"/>
                <w:lang w:val="fr-CH"/>
              </w:rPr>
            </w:pPr>
            <w:r w:rsidRPr="00911E18">
              <w:rPr>
                <w:color w:val="000000"/>
                <w:lang w:val="fr-CH"/>
              </w:rPr>
              <w:t>SNE &amp; DE</w:t>
            </w:r>
          </w:p>
        </w:tc>
        <w:tc>
          <w:tcPr>
            <w:tcW w:w="1581" w:type="dxa"/>
            <w:shd w:val="clear" w:color="auto" w:fill="auto"/>
            <w:vAlign w:val="center"/>
            <w:hideMark/>
          </w:tcPr>
          <w:p w14:paraId="14FB6562" w14:textId="6DB55C76" w:rsidR="00866092" w:rsidRPr="00911E18" w:rsidRDefault="00866092" w:rsidP="00911E18">
            <w:pPr>
              <w:jc w:val="center"/>
              <w:rPr>
                <w:color w:val="000000"/>
                <w:lang w:val="fr-CH"/>
              </w:rPr>
            </w:pPr>
            <w:r w:rsidRPr="00911E18">
              <w:rPr>
                <w:color w:val="000000"/>
                <w:lang w:val="fr-CH"/>
              </w:rPr>
              <w:t>2.94 (6.4)</w:t>
            </w:r>
          </w:p>
        </w:tc>
        <w:tc>
          <w:tcPr>
            <w:tcW w:w="1577" w:type="dxa"/>
            <w:shd w:val="clear" w:color="auto" w:fill="auto"/>
            <w:vAlign w:val="center"/>
            <w:hideMark/>
          </w:tcPr>
          <w:p w14:paraId="0B6D3041" w14:textId="067F0074" w:rsidR="00866092" w:rsidRPr="00911E18" w:rsidRDefault="00866092" w:rsidP="00911E18">
            <w:pPr>
              <w:jc w:val="center"/>
              <w:rPr>
                <w:color w:val="000000"/>
                <w:lang w:val="fr-CH"/>
              </w:rPr>
            </w:pPr>
          </w:p>
        </w:tc>
        <w:tc>
          <w:tcPr>
            <w:tcW w:w="1578" w:type="dxa"/>
          </w:tcPr>
          <w:p w14:paraId="0021C9B5" w14:textId="77777777" w:rsidR="00866092" w:rsidRPr="00911E18" w:rsidRDefault="00866092" w:rsidP="00911E18">
            <w:pPr>
              <w:jc w:val="center"/>
              <w:rPr>
                <w:color w:val="000000"/>
                <w:lang w:val="fr-CH"/>
              </w:rPr>
            </w:pPr>
          </w:p>
        </w:tc>
        <w:tc>
          <w:tcPr>
            <w:tcW w:w="1578" w:type="dxa"/>
            <w:shd w:val="clear" w:color="auto" w:fill="auto"/>
            <w:vAlign w:val="center"/>
            <w:hideMark/>
          </w:tcPr>
          <w:p w14:paraId="2CA39B78" w14:textId="3F7A846A" w:rsidR="009D08DE" w:rsidRPr="00911E18" w:rsidRDefault="009D08DE" w:rsidP="00911E18">
            <w:pPr>
              <w:jc w:val="center"/>
              <w:rPr>
                <w:color w:val="000000"/>
                <w:lang w:val="fr-CH"/>
              </w:rPr>
            </w:pPr>
          </w:p>
        </w:tc>
        <w:tc>
          <w:tcPr>
            <w:tcW w:w="162" w:type="dxa"/>
            <w:vAlign w:val="center"/>
          </w:tcPr>
          <w:p w14:paraId="7A4425BB" w14:textId="77777777" w:rsidR="00866092" w:rsidRPr="001F425B" w:rsidRDefault="00866092" w:rsidP="001E43B5">
            <w:pPr>
              <w:jc w:val="center"/>
              <w:rPr>
                <w:color w:val="000000"/>
                <w:lang w:val="fr-CH"/>
              </w:rPr>
            </w:pPr>
          </w:p>
        </w:tc>
        <w:tc>
          <w:tcPr>
            <w:tcW w:w="2150" w:type="dxa"/>
            <w:gridSpan w:val="3"/>
            <w:shd w:val="clear" w:color="auto" w:fill="auto"/>
            <w:vAlign w:val="center"/>
            <w:hideMark/>
          </w:tcPr>
          <w:p w14:paraId="0034F1A5" w14:textId="0DA1263A" w:rsidR="00866092" w:rsidRPr="001F425B" w:rsidRDefault="00866092" w:rsidP="00911E18">
            <w:pPr>
              <w:jc w:val="center"/>
              <w:rPr>
                <w:color w:val="000000"/>
                <w:lang w:val="fr-CH"/>
              </w:rPr>
            </w:pPr>
            <w:r w:rsidRPr="001F425B">
              <w:rPr>
                <w:color w:val="000000"/>
                <w:lang w:val="fr-CH"/>
              </w:rPr>
              <w:t>15.</w:t>
            </w:r>
            <w:r>
              <w:rPr>
                <w:color w:val="000000"/>
                <w:lang w:val="fr-CH"/>
              </w:rPr>
              <w:t>6% (83/533</w:t>
            </w:r>
            <w:r w:rsidRPr="001F425B">
              <w:rPr>
                <w:color w:val="000000"/>
                <w:lang w:val="fr-CH"/>
              </w:rPr>
              <w:t>)</w:t>
            </w:r>
          </w:p>
        </w:tc>
        <w:tc>
          <w:tcPr>
            <w:tcW w:w="1451" w:type="dxa"/>
            <w:shd w:val="clear" w:color="auto" w:fill="auto"/>
            <w:vAlign w:val="center"/>
            <w:hideMark/>
          </w:tcPr>
          <w:p w14:paraId="0A26EA3C" w14:textId="2E67497B" w:rsidR="00866092" w:rsidRPr="001F425B" w:rsidRDefault="00866092" w:rsidP="00911E18">
            <w:pPr>
              <w:jc w:val="center"/>
              <w:rPr>
                <w:color w:val="000000"/>
                <w:lang w:val="fr-CH"/>
              </w:rPr>
            </w:pPr>
          </w:p>
        </w:tc>
        <w:tc>
          <w:tcPr>
            <w:tcW w:w="1624" w:type="dxa"/>
            <w:vAlign w:val="center"/>
          </w:tcPr>
          <w:p w14:paraId="11F4C87B" w14:textId="7731193E" w:rsidR="00866092" w:rsidRPr="001F425B" w:rsidRDefault="00866092" w:rsidP="00911E18">
            <w:pPr>
              <w:jc w:val="center"/>
              <w:rPr>
                <w:color w:val="000000"/>
                <w:lang w:val="fr-CH"/>
              </w:rPr>
            </w:pPr>
          </w:p>
        </w:tc>
        <w:tc>
          <w:tcPr>
            <w:tcW w:w="1445" w:type="dxa"/>
            <w:gridSpan w:val="2"/>
            <w:shd w:val="clear" w:color="auto" w:fill="auto"/>
            <w:vAlign w:val="center"/>
            <w:hideMark/>
          </w:tcPr>
          <w:p w14:paraId="76BBDFE0" w14:textId="0CB0E487" w:rsidR="00866092" w:rsidRPr="00702051" w:rsidRDefault="00866092" w:rsidP="00702051">
            <w:pPr>
              <w:rPr>
                <w:color w:val="000000"/>
                <w:lang w:val="fr-CH"/>
              </w:rPr>
            </w:pPr>
          </w:p>
        </w:tc>
      </w:tr>
    </w:tbl>
    <w:p w14:paraId="6369A438" w14:textId="37B29AD9" w:rsidR="009379B5" w:rsidRPr="00D05234" w:rsidRDefault="009379B5" w:rsidP="009379B5">
      <w:pPr>
        <w:spacing w:line="360" w:lineRule="auto"/>
        <w:rPr>
          <w:color w:val="000000" w:themeColor="text1"/>
          <w:lang w:val="en-GB"/>
        </w:rPr>
      </w:pPr>
      <w:r w:rsidRPr="00FC29FC">
        <w:rPr>
          <w:i/>
          <w:color w:val="000000" w:themeColor="text1"/>
          <w:lang w:val="en-GB"/>
        </w:rPr>
        <w:t>Notes:</w:t>
      </w:r>
      <w:r w:rsidRPr="00FC29FC">
        <w:rPr>
          <w:color w:val="000000" w:themeColor="text1"/>
          <w:lang w:val="en-GB"/>
        </w:rPr>
        <w:t xml:space="preserve"> </w:t>
      </w:r>
      <w:r w:rsidRPr="00FC29FC">
        <w:rPr>
          <w:lang w:val="en-GB"/>
        </w:rPr>
        <w:t xml:space="preserve">SE=Stable engagement, SNE=Stable non-engagement, DE=Decreasing engagement, CCA=Complete-case dataset, </w:t>
      </w:r>
      <w:r w:rsidR="00FC29FC" w:rsidRPr="00FC29FC">
        <w:rPr>
          <w:lang w:val="en-GB"/>
        </w:rPr>
        <w:t xml:space="preserve">LOCF=Last-information-carried-forward, MAS=Missing-as-smoker, </w:t>
      </w:r>
      <w:r w:rsidRPr="00FC29FC">
        <w:rPr>
          <w:lang w:val="en-GB"/>
        </w:rPr>
        <w:t>ITT= intention-to-treat dataset,</w:t>
      </w:r>
      <w:r w:rsidR="00C674A1" w:rsidRPr="00FC29FC">
        <w:rPr>
          <w:lang w:val="en-GB"/>
        </w:rPr>
        <w:t xml:space="preserve"> </w:t>
      </w:r>
      <w:r w:rsidRPr="00FC29FC">
        <w:rPr>
          <w:color w:val="000000" w:themeColor="text1"/>
          <w:lang w:val="en-GB"/>
        </w:rPr>
        <w:t xml:space="preserve">Ref. </w:t>
      </w:r>
      <w:r w:rsidRPr="00D05234">
        <w:rPr>
          <w:color w:val="000000" w:themeColor="text1"/>
          <w:lang w:val="en-GB"/>
        </w:rPr>
        <w:t xml:space="preserve">= reference category. </w:t>
      </w:r>
    </w:p>
    <w:p w14:paraId="6A0AB9D5" w14:textId="7774EF5F" w:rsidR="00C674A1" w:rsidRPr="008E74D5" w:rsidRDefault="00C674A1" w:rsidP="009379B5">
      <w:pPr>
        <w:spacing w:line="360" w:lineRule="auto"/>
        <w:rPr>
          <w:lang w:val="en-GB"/>
        </w:rPr>
      </w:pPr>
      <w:r w:rsidRPr="008E74D5">
        <w:rPr>
          <w:color w:val="000000" w:themeColor="text1"/>
          <w:lang w:val="en-GB"/>
        </w:rPr>
        <w:t>Test value</w:t>
      </w:r>
      <w:r w:rsidR="00F03963" w:rsidRPr="008E74D5">
        <w:rPr>
          <w:color w:val="000000" w:themeColor="text1"/>
          <w:lang w:val="en-GB"/>
        </w:rPr>
        <w:t xml:space="preserve"> for continuous outcome</w:t>
      </w:r>
      <w:r w:rsidRPr="008E74D5">
        <w:rPr>
          <w:color w:val="000000" w:themeColor="text1"/>
          <w:lang w:val="en-GB"/>
        </w:rPr>
        <w:t>= t-value</w:t>
      </w:r>
      <w:r w:rsidR="00F03963" w:rsidRPr="008E74D5">
        <w:rPr>
          <w:color w:val="000000" w:themeColor="text1"/>
          <w:lang w:val="en-GB"/>
        </w:rPr>
        <w:t>; for dichotomous outcome= z value</w:t>
      </w:r>
      <w:r w:rsidRPr="008E74D5">
        <w:rPr>
          <w:color w:val="000000" w:themeColor="text1"/>
          <w:lang w:val="en-GB"/>
        </w:rPr>
        <w:t>.</w:t>
      </w:r>
    </w:p>
    <w:p w14:paraId="66CDE01E" w14:textId="77777777" w:rsidR="009379B5" w:rsidRPr="008E74D5" w:rsidRDefault="009379B5" w:rsidP="009379B5">
      <w:pPr>
        <w:spacing w:line="480" w:lineRule="auto"/>
        <w:ind w:left="720" w:hanging="720"/>
        <w:rPr>
          <w:lang w:val="en-GB"/>
        </w:rPr>
      </w:pPr>
    </w:p>
    <w:p w14:paraId="031BCEB2" w14:textId="77777777" w:rsidR="009379B5" w:rsidRPr="008E74D5" w:rsidRDefault="009379B5" w:rsidP="009379B5">
      <w:pPr>
        <w:spacing w:line="480" w:lineRule="auto"/>
        <w:rPr>
          <w:lang w:val="en-GB"/>
        </w:rPr>
        <w:sectPr w:rsidR="009379B5" w:rsidRPr="008E74D5" w:rsidSect="00F20689">
          <w:pgSz w:w="16838" w:h="11906" w:orient="landscape"/>
          <w:pgMar w:top="1417" w:right="2096" w:bottom="1417" w:left="1417" w:header="709" w:footer="709" w:gutter="0"/>
          <w:cols w:space="708"/>
          <w:docGrid w:linePitch="360"/>
        </w:sectPr>
      </w:pPr>
    </w:p>
    <w:p w14:paraId="5CD53670" w14:textId="77777777" w:rsidR="00475AE7" w:rsidRPr="009E361E" w:rsidRDefault="00475AE7" w:rsidP="00475AE7">
      <w:pPr>
        <w:pStyle w:val="Listenabsatz"/>
        <w:numPr>
          <w:ilvl w:val="0"/>
          <w:numId w:val="32"/>
        </w:numPr>
        <w:spacing w:line="480" w:lineRule="auto"/>
        <w:rPr>
          <w:lang w:val="en-GB"/>
        </w:rPr>
      </w:pPr>
      <w:r w:rsidRPr="009E361E">
        <w:rPr>
          <w:lang w:val="en-GB"/>
        </w:rPr>
        <w:lastRenderedPageBreak/>
        <w:t>Discussion</w:t>
      </w:r>
    </w:p>
    <w:p w14:paraId="7A96543B" w14:textId="72FD6CE7" w:rsidR="00475AE7" w:rsidRDefault="00614A3E" w:rsidP="00E1449F">
      <w:pPr>
        <w:autoSpaceDE w:val="0"/>
        <w:autoSpaceDN w:val="0"/>
        <w:adjustRightInd w:val="0"/>
        <w:spacing w:line="480" w:lineRule="auto"/>
        <w:ind w:firstLine="709"/>
        <w:rPr>
          <w:lang w:val="en-GB"/>
        </w:rPr>
      </w:pPr>
      <w:r>
        <w:rPr>
          <w:lang w:val="en-GB"/>
        </w:rPr>
        <w:t xml:space="preserve">Using a </w:t>
      </w:r>
      <w:r w:rsidR="002C0635">
        <w:rPr>
          <w:lang w:val="en-GB"/>
        </w:rPr>
        <w:t>proactively</w:t>
      </w:r>
      <w:r w:rsidR="00C11B06">
        <w:rPr>
          <w:lang w:val="en-GB"/>
        </w:rPr>
        <w:t>-</w:t>
      </w:r>
      <w:r w:rsidR="002C0635">
        <w:rPr>
          <w:lang w:val="en-GB"/>
        </w:rPr>
        <w:t xml:space="preserve">recruited </w:t>
      </w:r>
      <w:r>
        <w:rPr>
          <w:lang w:val="en-GB"/>
        </w:rPr>
        <w:t xml:space="preserve">sample of smoking adolescents with mixed intentions to quit smoking, the present study examined (1) </w:t>
      </w:r>
      <w:r w:rsidR="00C11B06">
        <w:rPr>
          <w:lang w:val="en-GB"/>
        </w:rPr>
        <w:t xml:space="preserve">the </w:t>
      </w:r>
      <w:r>
        <w:rPr>
          <w:lang w:val="en-GB"/>
        </w:rPr>
        <w:t xml:space="preserve">use of different </w:t>
      </w:r>
      <w:r w:rsidR="00117A7C">
        <w:rPr>
          <w:lang w:val="en-GB"/>
        </w:rPr>
        <w:t>components</w:t>
      </w:r>
      <w:r>
        <w:rPr>
          <w:lang w:val="en-GB"/>
        </w:rPr>
        <w:t xml:space="preserve"> of a mobile phone-based smoking</w:t>
      </w:r>
      <w:r w:rsidR="00EB78A5">
        <w:rPr>
          <w:lang w:val="en-GB"/>
        </w:rPr>
        <w:t>-</w:t>
      </w:r>
      <w:r>
        <w:rPr>
          <w:lang w:val="en-GB"/>
        </w:rPr>
        <w:t>cessation program</w:t>
      </w:r>
      <w:r w:rsidR="00EB78A5">
        <w:rPr>
          <w:lang w:val="en-GB"/>
        </w:rPr>
        <w:t>;</w:t>
      </w:r>
      <w:r>
        <w:rPr>
          <w:lang w:val="en-GB"/>
        </w:rPr>
        <w:t xml:space="preserve"> (2) </w:t>
      </w:r>
      <w:r w:rsidR="00C11B06">
        <w:rPr>
          <w:lang w:val="en-GB"/>
        </w:rPr>
        <w:t xml:space="preserve">different </w:t>
      </w:r>
      <w:r>
        <w:rPr>
          <w:lang w:val="en-GB"/>
        </w:rPr>
        <w:t>prototypes of engagement trajector</w:t>
      </w:r>
      <w:r w:rsidR="00C11B06">
        <w:rPr>
          <w:lang w:val="en-GB"/>
        </w:rPr>
        <w:t>y</w:t>
      </w:r>
      <w:r w:rsidR="00EB78A5">
        <w:rPr>
          <w:lang w:val="en-GB"/>
        </w:rPr>
        <w:t>;</w:t>
      </w:r>
      <w:r>
        <w:rPr>
          <w:lang w:val="en-GB"/>
        </w:rPr>
        <w:t xml:space="preserve"> (3) the association between engagement trajectories and adolescent characteristics</w:t>
      </w:r>
      <w:r w:rsidR="00EB78A5">
        <w:rPr>
          <w:lang w:val="en-GB"/>
        </w:rPr>
        <w:t>;</w:t>
      </w:r>
      <w:r>
        <w:rPr>
          <w:lang w:val="en-GB"/>
        </w:rPr>
        <w:t xml:space="preserve"> and (4) the association between engagement trajectories and treatment outcomes.</w:t>
      </w:r>
    </w:p>
    <w:p w14:paraId="742A61B4" w14:textId="2BA928D0" w:rsidR="00FC554D" w:rsidRDefault="00450837" w:rsidP="006766E5">
      <w:pPr>
        <w:autoSpaceDE w:val="0"/>
        <w:autoSpaceDN w:val="0"/>
        <w:adjustRightInd w:val="0"/>
        <w:spacing w:line="480" w:lineRule="auto"/>
        <w:ind w:firstLine="709"/>
        <w:rPr>
          <w:lang w:val="en-GB"/>
        </w:rPr>
      </w:pPr>
      <w:r w:rsidRPr="00450837">
        <w:rPr>
          <w:lang w:val="en-GB"/>
        </w:rPr>
        <w:t>The</w:t>
      </w:r>
      <w:r w:rsidR="00EB78A5">
        <w:rPr>
          <w:lang w:val="en-GB"/>
        </w:rPr>
        <w:t xml:space="preserve"> </w:t>
      </w:r>
      <w:r w:rsidRPr="00450837">
        <w:rPr>
          <w:lang w:val="en-GB"/>
        </w:rPr>
        <w:t xml:space="preserve">main findings </w:t>
      </w:r>
      <w:r w:rsidR="002C0635">
        <w:rPr>
          <w:lang w:val="en-GB"/>
        </w:rPr>
        <w:t>are</w:t>
      </w:r>
      <w:r w:rsidRPr="00450837">
        <w:rPr>
          <w:lang w:val="en-GB"/>
        </w:rPr>
        <w:t xml:space="preserve">: </w:t>
      </w:r>
      <w:r w:rsidR="00B35D88">
        <w:rPr>
          <w:lang w:val="en-GB"/>
        </w:rPr>
        <w:t xml:space="preserve">(1) </w:t>
      </w:r>
      <w:proofErr w:type="gramStart"/>
      <w:r w:rsidR="00EB78A5">
        <w:rPr>
          <w:lang w:val="en-GB"/>
        </w:rPr>
        <w:t>T</w:t>
      </w:r>
      <w:r w:rsidR="00117A7C">
        <w:rPr>
          <w:lang w:val="en-GB"/>
        </w:rPr>
        <w:t>he</w:t>
      </w:r>
      <w:proofErr w:type="gramEnd"/>
      <w:r w:rsidR="00117A7C">
        <w:rPr>
          <w:lang w:val="en-GB"/>
        </w:rPr>
        <w:t xml:space="preserve"> components of the mobile phone-based smoking</w:t>
      </w:r>
      <w:r w:rsidR="00EB78A5">
        <w:rPr>
          <w:lang w:val="en-GB"/>
        </w:rPr>
        <w:t>-</w:t>
      </w:r>
      <w:r w:rsidR="00117A7C">
        <w:rPr>
          <w:lang w:val="en-GB"/>
        </w:rPr>
        <w:t xml:space="preserve">cessation program were used </w:t>
      </w:r>
      <w:r w:rsidR="00C11B06">
        <w:rPr>
          <w:lang w:val="en-GB"/>
        </w:rPr>
        <w:t xml:space="preserve">over </w:t>
      </w:r>
      <w:r w:rsidR="00117A7C">
        <w:rPr>
          <w:lang w:val="en-GB"/>
        </w:rPr>
        <w:t xml:space="preserve">the </w:t>
      </w:r>
      <w:r w:rsidR="00C11B06">
        <w:rPr>
          <w:lang w:val="en-GB"/>
        </w:rPr>
        <w:t>three</w:t>
      </w:r>
      <w:r w:rsidR="002C0635">
        <w:rPr>
          <w:lang w:val="en-GB"/>
        </w:rPr>
        <w:t>-month</w:t>
      </w:r>
      <w:r w:rsidR="00117A7C">
        <w:rPr>
          <w:lang w:val="en-GB"/>
        </w:rPr>
        <w:t xml:space="preserve"> intervention in a regular way, with quizzes being the component with the highest participation rate and repeated smoking-related assessments the le</w:t>
      </w:r>
      <w:r w:rsidR="00C11B06">
        <w:rPr>
          <w:lang w:val="en-GB"/>
        </w:rPr>
        <w:t>ast</w:t>
      </w:r>
      <w:r w:rsidR="00EB78A5">
        <w:rPr>
          <w:lang w:val="en-GB"/>
        </w:rPr>
        <w:t>-</w:t>
      </w:r>
      <w:r w:rsidR="00117A7C">
        <w:rPr>
          <w:lang w:val="en-GB"/>
        </w:rPr>
        <w:t xml:space="preserve">used component. </w:t>
      </w:r>
      <w:r w:rsidR="00EB78A5">
        <w:rPr>
          <w:lang w:val="en-GB"/>
        </w:rPr>
        <w:t>(</w:t>
      </w:r>
      <w:r w:rsidR="00D41D2F">
        <w:rPr>
          <w:lang w:val="en-GB"/>
        </w:rPr>
        <w:t>2</w:t>
      </w:r>
      <w:r w:rsidRPr="00450837">
        <w:rPr>
          <w:lang w:val="en-GB"/>
        </w:rPr>
        <w:t xml:space="preserve">) Three </w:t>
      </w:r>
      <w:r w:rsidR="00D41D2F">
        <w:rPr>
          <w:lang w:val="en-GB"/>
        </w:rPr>
        <w:t xml:space="preserve">distinct engagement </w:t>
      </w:r>
      <w:r w:rsidRPr="00450837">
        <w:rPr>
          <w:lang w:val="en-GB"/>
        </w:rPr>
        <w:t>trajectories emerged</w:t>
      </w:r>
      <w:r w:rsidR="00C11B06">
        <w:rPr>
          <w:lang w:val="en-GB"/>
        </w:rPr>
        <w:t>:</w:t>
      </w:r>
      <w:r w:rsidR="00D41D2F">
        <w:rPr>
          <w:lang w:val="en-GB"/>
        </w:rPr>
        <w:t xml:space="preserve"> two </w:t>
      </w:r>
      <w:r w:rsidR="002C0635">
        <w:rPr>
          <w:lang w:val="en-GB"/>
        </w:rPr>
        <w:t>characterized by</w:t>
      </w:r>
      <w:r w:rsidR="00D41D2F">
        <w:rPr>
          <w:lang w:val="en-GB"/>
        </w:rPr>
        <w:t xml:space="preserve"> higher level</w:t>
      </w:r>
      <w:r w:rsidR="002C0635">
        <w:rPr>
          <w:lang w:val="en-GB"/>
        </w:rPr>
        <w:t>s</w:t>
      </w:r>
      <w:r w:rsidR="00D41D2F">
        <w:rPr>
          <w:lang w:val="en-GB"/>
        </w:rPr>
        <w:t xml:space="preserve"> of engagement</w:t>
      </w:r>
      <w:r w:rsidR="00EB78A5">
        <w:rPr>
          <w:lang w:val="en-GB"/>
        </w:rPr>
        <w:t>, stable and decreasing engagement</w:t>
      </w:r>
      <w:r w:rsidR="002C0635">
        <w:rPr>
          <w:lang w:val="en-GB"/>
        </w:rPr>
        <w:t>,</w:t>
      </w:r>
      <w:r w:rsidR="00D41D2F">
        <w:rPr>
          <w:lang w:val="en-GB"/>
        </w:rPr>
        <w:t xml:space="preserve"> and one </w:t>
      </w:r>
      <w:r w:rsidR="002C0635">
        <w:rPr>
          <w:lang w:val="en-GB"/>
        </w:rPr>
        <w:t>by a lower level</w:t>
      </w:r>
      <w:r w:rsidR="00D41D2F">
        <w:rPr>
          <w:lang w:val="en-GB"/>
        </w:rPr>
        <w:t xml:space="preserve"> of engagement</w:t>
      </w:r>
      <w:r w:rsidR="00EB78A5">
        <w:rPr>
          <w:lang w:val="en-GB"/>
        </w:rPr>
        <w:t>: stable non-engagement</w:t>
      </w:r>
      <w:r w:rsidR="00D41D2F">
        <w:rPr>
          <w:lang w:val="en-GB"/>
        </w:rPr>
        <w:t xml:space="preserve">. </w:t>
      </w:r>
      <w:r w:rsidR="00EB78A5">
        <w:rPr>
          <w:lang w:val="en-GB"/>
        </w:rPr>
        <w:t>(</w:t>
      </w:r>
      <w:r w:rsidR="00D41D2F">
        <w:rPr>
          <w:lang w:val="en-GB"/>
        </w:rPr>
        <w:t>3</w:t>
      </w:r>
      <w:r w:rsidR="00BA1F6F">
        <w:rPr>
          <w:lang w:val="en-GB"/>
        </w:rPr>
        <w:t xml:space="preserve">) </w:t>
      </w:r>
      <w:r w:rsidRPr="00450837">
        <w:rPr>
          <w:lang w:val="en-GB"/>
        </w:rPr>
        <w:t>Adolescents who were younger, had no immigra</w:t>
      </w:r>
      <w:r w:rsidR="00C11B06">
        <w:rPr>
          <w:lang w:val="en-GB"/>
        </w:rPr>
        <w:t>nt</w:t>
      </w:r>
      <w:r w:rsidRPr="00450837">
        <w:rPr>
          <w:lang w:val="en-GB"/>
        </w:rPr>
        <w:t xml:space="preserve"> background, </w:t>
      </w:r>
      <w:r w:rsidR="00C11B06">
        <w:rPr>
          <w:lang w:val="en-GB"/>
        </w:rPr>
        <w:t>perceived</w:t>
      </w:r>
      <w:r w:rsidRPr="00450837">
        <w:rPr>
          <w:lang w:val="en-GB"/>
        </w:rPr>
        <w:t xml:space="preserve"> more benefits of quitting smoking</w:t>
      </w:r>
      <w:r w:rsidR="00D1645D">
        <w:rPr>
          <w:lang w:val="en-GB"/>
        </w:rPr>
        <w:t>,</w:t>
      </w:r>
      <w:r w:rsidRPr="00450837">
        <w:rPr>
          <w:lang w:val="en-GB"/>
        </w:rPr>
        <w:t xml:space="preserve"> and reported binge drinking preceding the</w:t>
      </w:r>
      <w:r w:rsidR="00EB78A5">
        <w:rPr>
          <w:lang w:val="en-GB"/>
        </w:rPr>
        <w:t>ir</w:t>
      </w:r>
      <w:r w:rsidRPr="00450837">
        <w:rPr>
          <w:lang w:val="en-GB"/>
        </w:rPr>
        <w:t xml:space="preserve"> baseline assessment were more likely to </w:t>
      </w:r>
      <w:r w:rsidR="00C11B06">
        <w:rPr>
          <w:lang w:val="en-GB"/>
        </w:rPr>
        <w:t>exhibit</w:t>
      </w:r>
      <w:r w:rsidRPr="00450837">
        <w:rPr>
          <w:lang w:val="en-GB"/>
        </w:rPr>
        <w:t xml:space="preserve"> a </w:t>
      </w:r>
      <w:r w:rsidR="00D41D2F">
        <w:rPr>
          <w:lang w:val="en-GB"/>
        </w:rPr>
        <w:t xml:space="preserve">stable engagement trajectory </w:t>
      </w:r>
      <w:r w:rsidR="00C11B06">
        <w:rPr>
          <w:lang w:val="en-GB"/>
        </w:rPr>
        <w:t>throughout</w:t>
      </w:r>
      <w:r w:rsidR="00D41D2F">
        <w:rPr>
          <w:lang w:val="en-GB"/>
        </w:rPr>
        <w:t xml:space="preserve"> the intervention</w:t>
      </w:r>
      <w:r w:rsidRPr="00450837">
        <w:rPr>
          <w:lang w:val="en-GB"/>
        </w:rPr>
        <w:t xml:space="preserve">. </w:t>
      </w:r>
      <w:r w:rsidR="00EB78A5">
        <w:rPr>
          <w:lang w:val="en-GB"/>
        </w:rPr>
        <w:t>(</w:t>
      </w:r>
      <w:r w:rsidR="00BA1F6F">
        <w:rPr>
          <w:lang w:val="en-GB"/>
        </w:rPr>
        <w:t>4</w:t>
      </w:r>
      <w:r w:rsidRPr="00450837">
        <w:rPr>
          <w:lang w:val="en-GB"/>
        </w:rPr>
        <w:t xml:space="preserve">) </w:t>
      </w:r>
      <w:r w:rsidR="00D007AA" w:rsidRPr="003C7F98">
        <w:rPr>
          <w:lang w:val="en-GB"/>
        </w:rPr>
        <w:t>S</w:t>
      </w:r>
      <w:r w:rsidR="00F838D4" w:rsidRPr="003C7F98">
        <w:rPr>
          <w:lang w:val="en-GB"/>
        </w:rPr>
        <w:t xml:space="preserve">ubjects who displayed a decreasing engagement </w:t>
      </w:r>
      <w:r w:rsidR="00C11B06" w:rsidRPr="003C7F98">
        <w:rPr>
          <w:lang w:val="en-GB"/>
        </w:rPr>
        <w:t xml:space="preserve">pattern generally </w:t>
      </w:r>
      <w:r w:rsidR="003C7D1E" w:rsidRPr="003C7F98">
        <w:rPr>
          <w:lang w:val="en-GB"/>
        </w:rPr>
        <w:t>reduced their daily tobacco use more than subjects who</w:t>
      </w:r>
      <w:r w:rsidR="00C11B06" w:rsidRPr="003C7F98">
        <w:rPr>
          <w:lang w:val="en-GB"/>
        </w:rPr>
        <w:t xml:space="preserve">se level of </w:t>
      </w:r>
      <w:r w:rsidR="003C7D1E" w:rsidRPr="003C7F98">
        <w:rPr>
          <w:lang w:val="en-GB"/>
        </w:rPr>
        <w:t>engagement</w:t>
      </w:r>
      <w:r w:rsidR="00C11B06" w:rsidRPr="003C7F98">
        <w:rPr>
          <w:lang w:val="en-GB"/>
        </w:rPr>
        <w:t xml:space="preserve"> </w:t>
      </w:r>
      <w:r w:rsidR="003C7F98" w:rsidRPr="003C7F98">
        <w:rPr>
          <w:lang w:val="en-GB"/>
        </w:rPr>
        <w:t>was low</w:t>
      </w:r>
      <w:r w:rsidR="003C7D1E" w:rsidRPr="003C7F98">
        <w:rPr>
          <w:lang w:val="en-GB"/>
        </w:rPr>
        <w:t>.</w:t>
      </w:r>
      <w:r w:rsidR="00FC554D" w:rsidRPr="003C7F98">
        <w:rPr>
          <w:lang w:val="en-GB"/>
        </w:rPr>
        <w:t xml:space="preserve"> </w:t>
      </w:r>
    </w:p>
    <w:p w14:paraId="18F3236A" w14:textId="2ABE3D74" w:rsidR="003871AD" w:rsidRDefault="004565C9" w:rsidP="006766E5">
      <w:pPr>
        <w:autoSpaceDE w:val="0"/>
        <w:autoSpaceDN w:val="0"/>
        <w:adjustRightInd w:val="0"/>
        <w:spacing w:line="480" w:lineRule="auto"/>
        <w:ind w:firstLine="709"/>
        <w:rPr>
          <w:lang w:val="en-GB"/>
        </w:rPr>
      </w:pPr>
      <w:r>
        <w:rPr>
          <w:lang w:val="en-GB"/>
        </w:rPr>
        <w:t xml:space="preserve">This is the first study </w:t>
      </w:r>
      <w:r w:rsidR="00C870E3">
        <w:rPr>
          <w:lang w:val="en-GB"/>
        </w:rPr>
        <w:t xml:space="preserve">to </w:t>
      </w:r>
      <w:r>
        <w:rPr>
          <w:lang w:val="en-GB"/>
        </w:rPr>
        <w:t>examin</w:t>
      </w:r>
      <w:r w:rsidR="00C870E3">
        <w:rPr>
          <w:lang w:val="en-GB"/>
        </w:rPr>
        <w:t>e</w:t>
      </w:r>
      <w:r>
        <w:rPr>
          <w:lang w:val="en-GB"/>
        </w:rPr>
        <w:t xml:space="preserve"> engagement with a mobile phone-based smoking cessation intervention among adolescents. Interestingly, </w:t>
      </w:r>
      <w:r w:rsidR="003871AD">
        <w:rPr>
          <w:lang w:val="en-GB"/>
        </w:rPr>
        <w:t xml:space="preserve">we found similar results </w:t>
      </w:r>
      <w:r>
        <w:rPr>
          <w:lang w:val="en-GB"/>
        </w:rPr>
        <w:t xml:space="preserve">among adolescents </w:t>
      </w:r>
      <w:r w:rsidR="003871AD">
        <w:rPr>
          <w:lang w:val="en-GB"/>
        </w:rPr>
        <w:t xml:space="preserve">as for adults </w:t>
      </w:r>
      <w:r w:rsidR="00BA2D5A" w:rsidRPr="00BA2D5A">
        <w:rPr>
          <w:lang w:val="en-GB"/>
        </w:rPr>
        <w:t>[17</w:t>
      </w:r>
      <w:proofErr w:type="gramStart"/>
      <w:r w:rsidR="00BA2D5A" w:rsidRPr="00BA2D5A">
        <w:rPr>
          <w:lang w:val="en-GB"/>
        </w:rPr>
        <w:t>,19,15</w:t>
      </w:r>
      <w:proofErr w:type="gramEnd"/>
      <w:r w:rsidR="00BA2D5A" w:rsidRPr="00BA2D5A">
        <w:rPr>
          <w:lang w:val="en-GB"/>
        </w:rPr>
        <w:t>]</w:t>
      </w:r>
      <w:r w:rsidR="003871AD">
        <w:rPr>
          <w:lang w:val="en-GB"/>
        </w:rPr>
        <w:t xml:space="preserve">. We also </w:t>
      </w:r>
      <w:r w:rsidR="00C870E3">
        <w:rPr>
          <w:lang w:val="en-GB"/>
        </w:rPr>
        <w:t>identified</w:t>
      </w:r>
      <w:r w:rsidR="003871AD">
        <w:rPr>
          <w:lang w:val="en-GB"/>
        </w:rPr>
        <w:t xml:space="preserve"> a cluster of people who fully committed to the program</w:t>
      </w:r>
      <w:r w:rsidR="00C870E3">
        <w:rPr>
          <w:lang w:val="en-GB"/>
        </w:rPr>
        <w:t>,</w:t>
      </w:r>
      <w:r w:rsidR="003871AD">
        <w:rPr>
          <w:lang w:val="en-GB"/>
        </w:rPr>
        <w:t xml:space="preserve"> as in </w:t>
      </w:r>
      <w:r w:rsidR="00C870E3">
        <w:rPr>
          <w:lang w:val="en-GB"/>
        </w:rPr>
        <w:t xml:space="preserve">the study by </w:t>
      </w:r>
      <w:proofErr w:type="spellStart"/>
      <w:r w:rsidR="003871AD">
        <w:rPr>
          <w:lang w:val="en-GB"/>
        </w:rPr>
        <w:t>Balmford</w:t>
      </w:r>
      <w:proofErr w:type="spellEnd"/>
      <w:r w:rsidR="003871AD">
        <w:rPr>
          <w:lang w:val="en-GB"/>
        </w:rPr>
        <w:t xml:space="preserve"> et al</w:t>
      </w:r>
      <w:r w:rsidR="001C58B0">
        <w:rPr>
          <w:lang w:val="en-GB"/>
        </w:rPr>
        <w:t>.</w:t>
      </w:r>
      <w:r w:rsidR="003871AD">
        <w:rPr>
          <w:lang w:val="en-GB"/>
        </w:rPr>
        <w:t xml:space="preserve"> </w:t>
      </w:r>
      <w:r w:rsidR="00BA2D5A" w:rsidRPr="00BA2D5A">
        <w:rPr>
          <w:lang w:val="en-GB"/>
        </w:rPr>
        <w:t>[19]</w:t>
      </w:r>
      <w:r w:rsidR="003871AD">
        <w:rPr>
          <w:lang w:val="en-GB"/>
        </w:rPr>
        <w:t>.</w:t>
      </w:r>
      <w:r w:rsidR="00EB78A5">
        <w:rPr>
          <w:lang w:val="en-GB"/>
        </w:rPr>
        <w:t xml:space="preserve"> </w:t>
      </w:r>
      <w:r w:rsidR="003871AD">
        <w:rPr>
          <w:lang w:val="en-GB"/>
        </w:rPr>
        <w:t xml:space="preserve">Similarly, the current study replicates three of the five engagement clusters detected by </w:t>
      </w:r>
      <w:proofErr w:type="spellStart"/>
      <w:r w:rsidR="003871AD">
        <w:rPr>
          <w:lang w:val="en-GB"/>
        </w:rPr>
        <w:t>Christofferson</w:t>
      </w:r>
      <w:proofErr w:type="spellEnd"/>
      <w:r w:rsidR="003871AD">
        <w:rPr>
          <w:lang w:val="en-GB"/>
        </w:rPr>
        <w:t xml:space="preserve"> et al. </w:t>
      </w:r>
      <w:r w:rsidR="00BA2D5A" w:rsidRPr="00BA2D5A">
        <w:rPr>
          <w:lang w:val="en-GB"/>
        </w:rPr>
        <w:t>[15]</w:t>
      </w:r>
      <w:r w:rsidR="003871AD">
        <w:rPr>
          <w:lang w:val="en-GB"/>
        </w:rPr>
        <w:t xml:space="preserve">. While our cluster-solution was less </w:t>
      </w:r>
      <w:r w:rsidR="00A611F6">
        <w:rPr>
          <w:lang w:val="en-GB"/>
        </w:rPr>
        <w:t>fine-grained</w:t>
      </w:r>
      <w:r w:rsidR="003871AD">
        <w:rPr>
          <w:lang w:val="en-GB"/>
        </w:rPr>
        <w:t>, the clusters were significantly different with respect to baseline characteristics</w:t>
      </w:r>
      <w:r w:rsidR="00C870E3">
        <w:rPr>
          <w:lang w:val="en-GB"/>
        </w:rPr>
        <w:t>,</w:t>
      </w:r>
      <w:r w:rsidR="003871AD">
        <w:rPr>
          <w:lang w:val="en-GB"/>
        </w:rPr>
        <w:t xml:space="preserve"> contrary to those </w:t>
      </w:r>
      <w:r w:rsidR="00C870E3">
        <w:rPr>
          <w:lang w:val="en-GB"/>
        </w:rPr>
        <w:t xml:space="preserve">reported </w:t>
      </w:r>
      <w:r w:rsidR="003871AD">
        <w:rPr>
          <w:lang w:val="en-GB"/>
        </w:rPr>
        <w:t xml:space="preserve">by </w:t>
      </w:r>
      <w:proofErr w:type="spellStart"/>
      <w:r w:rsidR="003871AD">
        <w:rPr>
          <w:lang w:val="en-GB"/>
        </w:rPr>
        <w:t>Christoffersons</w:t>
      </w:r>
      <w:proofErr w:type="spellEnd"/>
      <w:r w:rsidR="003871AD">
        <w:rPr>
          <w:lang w:val="en-GB"/>
        </w:rPr>
        <w:t xml:space="preserve"> et al </w:t>
      </w:r>
      <w:r w:rsidR="00BA2D5A" w:rsidRPr="00B90D34">
        <w:rPr>
          <w:lang w:val="en-GB"/>
        </w:rPr>
        <w:t>[15]</w:t>
      </w:r>
      <w:r w:rsidR="003871AD">
        <w:rPr>
          <w:lang w:val="en-GB"/>
        </w:rPr>
        <w:t>. Distinct groups are essential if interventions have to be adapted to different types of engager.</w:t>
      </w:r>
    </w:p>
    <w:p w14:paraId="42A25813" w14:textId="1E55056B" w:rsidR="002C0635" w:rsidRDefault="004565C9" w:rsidP="00E1449F">
      <w:pPr>
        <w:autoSpaceDE w:val="0"/>
        <w:autoSpaceDN w:val="0"/>
        <w:adjustRightInd w:val="0"/>
        <w:spacing w:line="480" w:lineRule="auto"/>
        <w:ind w:firstLine="709"/>
        <w:rPr>
          <w:lang w:val="en-GB"/>
        </w:rPr>
      </w:pPr>
      <w:r>
        <w:rPr>
          <w:lang w:val="en-GB"/>
        </w:rPr>
        <w:lastRenderedPageBreak/>
        <w:t>Furthermore, t</w:t>
      </w:r>
      <w:r w:rsidR="005F4818">
        <w:rPr>
          <w:lang w:val="en-GB"/>
        </w:rPr>
        <w:t xml:space="preserve">his study </w:t>
      </w:r>
      <w:r w:rsidR="00EB78A5">
        <w:rPr>
          <w:lang w:val="en-GB"/>
        </w:rPr>
        <w:t xml:space="preserve">was the </w:t>
      </w:r>
      <w:r>
        <w:rPr>
          <w:lang w:val="en-GB"/>
        </w:rPr>
        <w:t xml:space="preserve">first </w:t>
      </w:r>
      <w:r w:rsidR="00EB78A5">
        <w:rPr>
          <w:lang w:val="en-GB"/>
        </w:rPr>
        <w:t xml:space="preserve">to </w:t>
      </w:r>
      <w:r>
        <w:rPr>
          <w:lang w:val="en-GB"/>
        </w:rPr>
        <w:t>examine</w:t>
      </w:r>
      <w:r w:rsidR="005F4818">
        <w:rPr>
          <w:lang w:val="en-GB"/>
        </w:rPr>
        <w:t xml:space="preserve"> factors that predict stable engagement with a mobile phone-based smoking cessation program among adolescents. </w:t>
      </w:r>
      <w:r w:rsidR="009F0FEF">
        <w:rPr>
          <w:lang w:val="en-GB"/>
        </w:rPr>
        <w:t>Other than in</w:t>
      </w:r>
      <w:r w:rsidR="002A7EF6">
        <w:rPr>
          <w:lang w:val="en-GB"/>
        </w:rPr>
        <w:t xml:space="preserve"> </w:t>
      </w:r>
      <w:r w:rsidR="005F4818">
        <w:rPr>
          <w:lang w:val="en-GB"/>
        </w:rPr>
        <w:t xml:space="preserve">previous </w:t>
      </w:r>
      <w:r w:rsidR="002A7EF6">
        <w:rPr>
          <w:lang w:val="en-GB"/>
        </w:rPr>
        <w:t xml:space="preserve">studies on </w:t>
      </w:r>
      <w:r w:rsidR="00AC5154">
        <w:rPr>
          <w:lang w:val="en-GB"/>
        </w:rPr>
        <w:t>mobile phone</w:t>
      </w:r>
      <w:r w:rsidR="002A7EF6">
        <w:rPr>
          <w:lang w:val="en-GB"/>
        </w:rPr>
        <w:t xml:space="preserve">-based programs for adult smokers </w:t>
      </w:r>
      <w:r w:rsidR="00BA2D5A" w:rsidRPr="00B90D34">
        <w:rPr>
          <w:lang w:val="en-GB"/>
        </w:rPr>
        <w:t>[14</w:t>
      </w:r>
      <w:proofErr w:type="gramStart"/>
      <w:r w:rsidR="00BA2D5A" w:rsidRPr="00B90D34">
        <w:rPr>
          <w:lang w:val="en-GB"/>
        </w:rPr>
        <w:t>,15</w:t>
      </w:r>
      <w:proofErr w:type="gramEnd"/>
      <w:r w:rsidR="00BA2D5A" w:rsidRPr="00B90D34">
        <w:rPr>
          <w:lang w:val="en-GB"/>
        </w:rPr>
        <w:t>]</w:t>
      </w:r>
      <w:r w:rsidR="005F4818">
        <w:rPr>
          <w:lang w:val="en-GB"/>
        </w:rPr>
        <w:t>, engagement</w:t>
      </w:r>
      <w:r w:rsidR="00D1645D">
        <w:rPr>
          <w:lang w:val="en-GB"/>
        </w:rPr>
        <w:t xml:space="preserve"> was not related to gender</w:t>
      </w:r>
      <w:r w:rsidR="005F4818">
        <w:rPr>
          <w:lang w:val="en-GB"/>
        </w:rPr>
        <w:t xml:space="preserve">. This </w:t>
      </w:r>
      <w:r w:rsidR="00C70DA7">
        <w:rPr>
          <w:lang w:val="en-GB"/>
        </w:rPr>
        <w:t xml:space="preserve">could </w:t>
      </w:r>
      <w:r w:rsidR="005F4818">
        <w:rPr>
          <w:lang w:val="en-GB"/>
        </w:rPr>
        <w:t xml:space="preserve">be explained by the gender-specific tailoring which was undertaken </w:t>
      </w:r>
      <w:r w:rsidR="00C870E3">
        <w:rPr>
          <w:lang w:val="en-GB"/>
        </w:rPr>
        <w:t>for</w:t>
      </w:r>
      <w:r w:rsidR="005F4818">
        <w:rPr>
          <w:lang w:val="en-GB"/>
        </w:rPr>
        <w:t xml:space="preserve"> </w:t>
      </w:r>
      <w:proofErr w:type="spellStart"/>
      <w:r w:rsidR="005F4818" w:rsidRPr="005F4818">
        <w:rPr>
          <w:i/>
          <w:lang w:val="en-GB"/>
        </w:rPr>
        <w:t>MobileCoach</w:t>
      </w:r>
      <w:proofErr w:type="spellEnd"/>
      <w:r w:rsidR="005F4818" w:rsidRPr="005F4818">
        <w:rPr>
          <w:i/>
          <w:lang w:val="en-GB"/>
        </w:rPr>
        <w:t xml:space="preserve"> Tobacco</w:t>
      </w:r>
      <w:r w:rsidR="00EB78A5">
        <w:rPr>
          <w:lang w:val="en-GB"/>
        </w:rPr>
        <w:t xml:space="preserve"> (</w:t>
      </w:r>
      <w:r w:rsidR="005F4818">
        <w:rPr>
          <w:lang w:val="en-GB"/>
        </w:rPr>
        <w:t>e.g.</w:t>
      </w:r>
      <w:r w:rsidR="00C870E3">
        <w:rPr>
          <w:lang w:val="en-GB"/>
        </w:rPr>
        <w:t>,</w:t>
      </w:r>
      <w:r w:rsidR="005F4818">
        <w:rPr>
          <w:lang w:val="en-GB"/>
        </w:rPr>
        <w:t xml:space="preserve"> </w:t>
      </w:r>
      <w:r w:rsidR="00C870E3">
        <w:rPr>
          <w:lang w:val="en-GB"/>
        </w:rPr>
        <w:t xml:space="preserve">the </w:t>
      </w:r>
      <w:r w:rsidR="005F4818">
        <w:rPr>
          <w:lang w:val="en-GB"/>
        </w:rPr>
        <w:t>feedback</w:t>
      </w:r>
      <w:r w:rsidR="00C870E3">
        <w:rPr>
          <w:lang w:val="en-GB"/>
        </w:rPr>
        <w:t xml:space="preserve"> on gender-specific </w:t>
      </w:r>
      <w:r w:rsidR="00393373">
        <w:rPr>
          <w:lang w:val="en-GB"/>
        </w:rPr>
        <w:t>drinking</w:t>
      </w:r>
      <w:r w:rsidR="00C870E3">
        <w:rPr>
          <w:lang w:val="en-GB"/>
        </w:rPr>
        <w:t xml:space="preserve"> norms</w:t>
      </w:r>
      <w:r w:rsidR="00EB78A5">
        <w:rPr>
          <w:lang w:val="en-GB"/>
        </w:rPr>
        <w:t>)</w:t>
      </w:r>
      <w:r w:rsidR="005F4818">
        <w:rPr>
          <w:lang w:val="en-GB"/>
        </w:rPr>
        <w:t xml:space="preserve">. Interestingly, </w:t>
      </w:r>
      <w:r w:rsidR="00C870E3">
        <w:rPr>
          <w:lang w:val="en-GB"/>
        </w:rPr>
        <w:t xml:space="preserve">in adolescents, </w:t>
      </w:r>
      <w:r w:rsidR="005F4818">
        <w:rPr>
          <w:lang w:val="en-GB"/>
        </w:rPr>
        <w:t>being younger</w:t>
      </w:r>
      <w:r w:rsidR="00C70DA7">
        <w:rPr>
          <w:lang w:val="en-GB"/>
        </w:rPr>
        <w:t xml:space="preserve"> </w:t>
      </w:r>
      <w:r w:rsidR="00C870E3">
        <w:rPr>
          <w:lang w:val="en-GB"/>
        </w:rPr>
        <w:t xml:space="preserve">was associated with higher levels of engagement, versus being </w:t>
      </w:r>
      <w:r w:rsidR="005F4818">
        <w:rPr>
          <w:lang w:val="en-GB"/>
        </w:rPr>
        <w:t xml:space="preserve">older </w:t>
      </w:r>
      <w:r w:rsidR="00C870E3">
        <w:rPr>
          <w:lang w:val="en-GB"/>
        </w:rPr>
        <w:t xml:space="preserve">among </w:t>
      </w:r>
      <w:r w:rsidR="00C70DA7">
        <w:rPr>
          <w:lang w:val="en-GB"/>
        </w:rPr>
        <w:t xml:space="preserve">adults </w:t>
      </w:r>
      <w:r w:rsidR="00BA2D5A" w:rsidRPr="00B90D34">
        <w:rPr>
          <w:lang w:val="en-GB"/>
        </w:rPr>
        <w:t>[15]</w:t>
      </w:r>
      <w:r w:rsidR="005A2DCB">
        <w:rPr>
          <w:lang w:val="en-GB"/>
        </w:rPr>
        <w:t xml:space="preserve">. </w:t>
      </w:r>
      <w:r w:rsidR="00F3053F">
        <w:rPr>
          <w:lang w:val="en-GB"/>
        </w:rPr>
        <w:t xml:space="preserve">This result suggests a quadratic relationship between age and engagement. Younger and older people </w:t>
      </w:r>
      <w:r w:rsidR="00C870E3">
        <w:rPr>
          <w:lang w:val="en-GB"/>
        </w:rPr>
        <w:t xml:space="preserve">might </w:t>
      </w:r>
      <w:r w:rsidR="00F3053F">
        <w:rPr>
          <w:lang w:val="en-GB"/>
        </w:rPr>
        <w:t>be</w:t>
      </w:r>
      <w:r w:rsidR="00C870E3">
        <w:rPr>
          <w:lang w:val="en-GB"/>
        </w:rPr>
        <w:t>come</w:t>
      </w:r>
      <w:r w:rsidR="00F3053F">
        <w:rPr>
          <w:lang w:val="en-GB"/>
        </w:rPr>
        <w:t xml:space="preserve"> more engaged</w:t>
      </w:r>
      <w:r w:rsidR="00C870E3">
        <w:rPr>
          <w:lang w:val="en-GB"/>
        </w:rPr>
        <w:t xml:space="preserve"> for a variety of reasons that include the </w:t>
      </w:r>
      <w:r w:rsidR="00D1645D">
        <w:rPr>
          <w:lang w:val="en-GB"/>
        </w:rPr>
        <w:t xml:space="preserve">program </w:t>
      </w:r>
      <w:r w:rsidR="00C870E3">
        <w:rPr>
          <w:lang w:val="en-GB"/>
        </w:rPr>
        <w:t xml:space="preserve">being more </w:t>
      </w:r>
      <w:r w:rsidR="00D1645D">
        <w:rPr>
          <w:lang w:val="en-GB"/>
        </w:rPr>
        <w:t>novel to them,</w:t>
      </w:r>
      <w:r w:rsidR="00F3053F">
        <w:rPr>
          <w:lang w:val="en-GB"/>
        </w:rPr>
        <w:t xml:space="preserve"> hav</w:t>
      </w:r>
      <w:r w:rsidR="00C870E3">
        <w:rPr>
          <w:lang w:val="en-GB"/>
        </w:rPr>
        <w:t>ing</w:t>
      </w:r>
      <w:r w:rsidR="00F3053F">
        <w:rPr>
          <w:lang w:val="en-GB"/>
        </w:rPr>
        <w:t xml:space="preserve"> more </w:t>
      </w:r>
      <w:r w:rsidR="00D1645D">
        <w:rPr>
          <w:lang w:val="en-GB"/>
        </w:rPr>
        <w:t xml:space="preserve">free </w:t>
      </w:r>
      <w:r w:rsidR="00F3053F">
        <w:rPr>
          <w:lang w:val="en-GB"/>
        </w:rPr>
        <w:t>time</w:t>
      </w:r>
      <w:r w:rsidR="00D1645D">
        <w:rPr>
          <w:lang w:val="en-GB"/>
        </w:rPr>
        <w:t xml:space="preserve">, or </w:t>
      </w:r>
      <w:r w:rsidR="00C870E3">
        <w:rPr>
          <w:lang w:val="en-GB"/>
        </w:rPr>
        <w:t xml:space="preserve">being more likely to </w:t>
      </w:r>
      <w:r w:rsidR="00D1645D">
        <w:rPr>
          <w:lang w:val="en-GB"/>
        </w:rPr>
        <w:t>commit to task</w:t>
      </w:r>
      <w:r w:rsidR="00F54DB7">
        <w:rPr>
          <w:lang w:val="en-GB"/>
        </w:rPr>
        <w:t>s</w:t>
      </w:r>
      <w:r w:rsidR="00D1645D">
        <w:rPr>
          <w:lang w:val="en-GB"/>
        </w:rPr>
        <w:t xml:space="preserve"> in general</w:t>
      </w:r>
      <w:r w:rsidR="002C0635">
        <w:rPr>
          <w:lang w:val="en-GB"/>
        </w:rPr>
        <w:t>.</w:t>
      </w:r>
    </w:p>
    <w:p w14:paraId="69199E14" w14:textId="0FD64FA8" w:rsidR="004565C9" w:rsidRDefault="00C870E3" w:rsidP="00393373">
      <w:pPr>
        <w:autoSpaceDE w:val="0"/>
        <w:autoSpaceDN w:val="0"/>
        <w:adjustRightInd w:val="0"/>
        <w:spacing w:line="480" w:lineRule="auto"/>
        <w:ind w:firstLine="709"/>
        <w:rPr>
          <w:lang w:val="en-GB"/>
        </w:rPr>
      </w:pPr>
      <w:r>
        <w:rPr>
          <w:lang w:val="en-GB"/>
        </w:rPr>
        <w:t xml:space="preserve">The current study revealed three further factors, besides </w:t>
      </w:r>
      <w:r w:rsidR="003A4F99">
        <w:rPr>
          <w:lang w:val="en-GB"/>
        </w:rPr>
        <w:t xml:space="preserve">age, </w:t>
      </w:r>
      <w:r w:rsidR="000415A2">
        <w:rPr>
          <w:lang w:val="en-GB"/>
        </w:rPr>
        <w:t xml:space="preserve">to be predictive </w:t>
      </w:r>
      <w:r>
        <w:rPr>
          <w:lang w:val="en-GB"/>
        </w:rPr>
        <w:t>of</w:t>
      </w:r>
      <w:r w:rsidR="000415A2">
        <w:rPr>
          <w:lang w:val="en-GB"/>
        </w:rPr>
        <w:t xml:space="preserve"> engagement among adolescents</w:t>
      </w:r>
      <w:r>
        <w:rPr>
          <w:lang w:val="en-GB"/>
        </w:rPr>
        <w:t>: the individual’s</w:t>
      </w:r>
      <w:r w:rsidR="000415A2">
        <w:rPr>
          <w:lang w:val="en-GB"/>
        </w:rPr>
        <w:t xml:space="preserve"> immigra</w:t>
      </w:r>
      <w:r>
        <w:rPr>
          <w:lang w:val="en-GB"/>
        </w:rPr>
        <w:t>nt</w:t>
      </w:r>
      <w:r w:rsidR="000415A2">
        <w:rPr>
          <w:lang w:val="en-GB"/>
        </w:rPr>
        <w:t xml:space="preserve"> background</w:t>
      </w:r>
      <w:r>
        <w:rPr>
          <w:lang w:val="en-GB"/>
        </w:rPr>
        <w:t>;</w:t>
      </w:r>
      <w:r w:rsidR="000415A2">
        <w:rPr>
          <w:lang w:val="en-GB"/>
        </w:rPr>
        <w:t xml:space="preserve"> </w:t>
      </w:r>
      <w:r>
        <w:rPr>
          <w:lang w:val="en-GB"/>
        </w:rPr>
        <w:t xml:space="preserve">their personal </w:t>
      </w:r>
      <w:r w:rsidR="000415A2">
        <w:rPr>
          <w:lang w:val="en-GB"/>
        </w:rPr>
        <w:t>outcome expectancies with respect to quitting smoking (i.e.</w:t>
      </w:r>
      <w:r>
        <w:rPr>
          <w:lang w:val="en-GB"/>
        </w:rPr>
        <w:t>,</w:t>
      </w:r>
      <w:r w:rsidR="000415A2">
        <w:rPr>
          <w:lang w:val="en-GB"/>
        </w:rPr>
        <w:t xml:space="preserve"> </w:t>
      </w:r>
      <w:r>
        <w:rPr>
          <w:lang w:val="en-GB"/>
        </w:rPr>
        <w:t xml:space="preserve">the </w:t>
      </w:r>
      <w:r w:rsidR="000415A2">
        <w:rPr>
          <w:lang w:val="en-GB"/>
        </w:rPr>
        <w:t>benefits of quitting)</w:t>
      </w:r>
      <w:r>
        <w:rPr>
          <w:lang w:val="en-GB"/>
        </w:rPr>
        <w:t>;</w:t>
      </w:r>
      <w:r w:rsidR="000415A2">
        <w:rPr>
          <w:lang w:val="en-GB"/>
        </w:rPr>
        <w:t xml:space="preserve"> and</w:t>
      </w:r>
      <w:r>
        <w:rPr>
          <w:lang w:val="en-GB"/>
        </w:rPr>
        <w:t xml:space="preserve"> whether or not they </w:t>
      </w:r>
      <w:r w:rsidR="00EB78A5">
        <w:rPr>
          <w:lang w:val="en-GB"/>
        </w:rPr>
        <w:t>previously engaged in</w:t>
      </w:r>
      <w:r>
        <w:rPr>
          <w:lang w:val="en-GB"/>
        </w:rPr>
        <w:t xml:space="preserve"> </w:t>
      </w:r>
      <w:r w:rsidR="000415A2">
        <w:rPr>
          <w:lang w:val="en-GB"/>
        </w:rPr>
        <w:t>binge drinking.</w:t>
      </w:r>
      <w:r w:rsidR="008114DE">
        <w:rPr>
          <w:lang w:val="en-GB"/>
        </w:rPr>
        <w:t xml:space="preserve"> An association between immigrant background and use of the program a</w:t>
      </w:r>
      <w:r w:rsidR="00AC0B34">
        <w:rPr>
          <w:lang w:val="en-GB"/>
        </w:rPr>
        <w:t xml:space="preserve">lso </w:t>
      </w:r>
      <w:r w:rsidR="008114DE">
        <w:rPr>
          <w:lang w:val="en-GB"/>
        </w:rPr>
        <w:t xml:space="preserve">was identified in </w:t>
      </w:r>
      <w:r w:rsidR="00AC0B34">
        <w:rPr>
          <w:lang w:val="en-GB"/>
        </w:rPr>
        <w:t xml:space="preserve">a study </w:t>
      </w:r>
      <w:r w:rsidR="00EB78A5">
        <w:rPr>
          <w:lang w:val="en-GB"/>
        </w:rPr>
        <w:t>by</w:t>
      </w:r>
      <w:r w:rsidR="003A4F99">
        <w:rPr>
          <w:lang w:val="en-GB"/>
        </w:rPr>
        <w:t xml:space="preserve"> </w:t>
      </w:r>
      <w:proofErr w:type="spellStart"/>
      <w:r w:rsidR="009C0629">
        <w:rPr>
          <w:lang w:val="en-GB"/>
        </w:rPr>
        <w:t>Businelle</w:t>
      </w:r>
      <w:proofErr w:type="spellEnd"/>
      <w:r w:rsidR="009C0629">
        <w:rPr>
          <w:lang w:val="en-GB"/>
        </w:rPr>
        <w:t xml:space="preserve"> et al</w:t>
      </w:r>
      <w:r w:rsidR="0049645B">
        <w:rPr>
          <w:lang w:val="en-GB"/>
        </w:rPr>
        <w:t>.</w:t>
      </w:r>
      <w:r w:rsidR="009C0629">
        <w:rPr>
          <w:lang w:val="en-GB"/>
        </w:rPr>
        <w:t xml:space="preserve"> </w:t>
      </w:r>
      <w:r w:rsidR="00BA2D5A" w:rsidRPr="00BA2D5A">
        <w:rPr>
          <w:lang w:val="en-GB"/>
        </w:rPr>
        <w:t>[11]</w:t>
      </w:r>
      <w:r w:rsidR="00AC0B34">
        <w:rPr>
          <w:lang w:val="en-GB"/>
        </w:rPr>
        <w:t xml:space="preserve"> </w:t>
      </w:r>
      <w:r w:rsidR="008114DE">
        <w:rPr>
          <w:lang w:val="en-GB"/>
        </w:rPr>
        <w:t>which</w:t>
      </w:r>
      <w:r w:rsidR="00AC0B34">
        <w:rPr>
          <w:lang w:val="en-GB"/>
        </w:rPr>
        <w:t xml:space="preserve"> investigated the feasi</w:t>
      </w:r>
      <w:r w:rsidR="004565C9">
        <w:rPr>
          <w:lang w:val="en-GB"/>
        </w:rPr>
        <w:t>bility and effectiveness of an a</w:t>
      </w:r>
      <w:r w:rsidR="00AC0B34">
        <w:rPr>
          <w:lang w:val="en-GB"/>
        </w:rPr>
        <w:t>pp-based smoking</w:t>
      </w:r>
      <w:r w:rsidR="00EB78A5">
        <w:rPr>
          <w:lang w:val="en-GB"/>
        </w:rPr>
        <w:t>-</w:t>
      </w:r>
      <w:r w:rsidR="00AC0B34">
        <w:rPr>
          <w:lang w:val="en-GB"/>
        </w:rPr>
        <w:t xml:space="preserve">cessation intervention among </w:t>
      </w:r>
      <w:r w:rsidR="002C0635">
        <w:rPr>
          <w:lang w:val="en-GB"/>
        </w:rPr>
        <w:t>socioeconomically</w:t>
      </w:r>
      <w:r w:rsidR="008114DE">
        <w:rPr>
          <w:lang w:val="en-GB"/>
        </w:rPr>
        <w:t>-</w:t>
      </w:r>
      <w:r w:rsidR="002C0635">
        <w:rPr>
          <w:lang w:val="en-GB"/>
        </w:rPr>
        <w:t>disadvantaged</w:t>
      </w:r>
      <w:r w:rsidR="00AC0B34">
        <w:rPr>
          <w:lang w:val="en-GB"/>
        </w:rPr>
        <w:t xml:space="preserve"> adults. Especially n</w:t>
      </w:r>
      <w:r w:rsidR="009C0629">
        <w:rPr>
          <w:lang w:val="en-GB"/>
        </w:rPr>
        <w:t xml:space="preserve">on-white participants </w:t>
      </w:r>
      <w:r w:rsidR="00AC0B34">
        <w:rPr>
          <w:lang w:val="en-GB"/>
        </w:rPr>
        <w:t>us</w:t>
      </w:r>
      <w:r w:rsidR="008114DE">
        <w:rPr>
          <w:lang w:val="en-GB"/>
        </w:rPr>
        <w:t>ed</w:t>
      </w:r>
      <w:r w:rsidR="00960C9D">
        <w:rPr>
          <w:lang w:val="en-GB"/>
        </w:rPr>
        <w:t xml:space="preserve"> </w:t>
      </w:r>
      <w:r w:rsidR="008114DE">
        <w:rPr>
          <w:lang w:val="en-GB"/>
        </w:rPr>
        <w:t>the</w:t>
      </w:r>
      <w:r w:rsidR="00960C9D">
        <w:rPr>
          <w:lang w:val="en-GB"/>
        </w:rPr>
        <w:t xml:space="preserve"> two </w:t>
      </w:r>
      <w:r w:rsidR="00AC0B34">
        <w:rPr>
          <w:lang w:val="en-GB"/>
        </w:rPr>
        <w:t>information-</w:t>
      </w:r>
      <w:r w:rsidR="007E68A5">
        <w:rPr>
          <w:lang w:val="en-GB"/>
        </w:rPr>
        <w:t>delivering</w:t>
      </w:r>
      <w:r w:rsidR="00AC0B34">
        <w:rPr>
          <w:lang w:val="en-GB"/>
        </w:rPr>
        <w:t xml:space="preserve"> </w:t>
      </w:r>
      <w:r w:rsidR="00960C9D">
        <w:rPr>
          <w:lang w:val="en-GB"/>
        </w:rPr>
        <w:t xml:space="preserve">features of the </w:t>
      </w:r>
      <w:r w:rsidR="00E66526">
        <w:rPr>
          <w:lang w:val="en-GB"/>
        </w:rPr>
        <w:t>a</w:t>
      </w:r>
      <w:r w:rsidR="00960C9D">
        <w:rPr>
          <w:lang w:val="en-GB"/>
        </w:rPr>
        <w:t>pp</w:t>
      </w:r>
      <w:r w:rsidR="009C0629">
        <w:rPr>
          <w:lang w:val="en-GB"/>
        </w:rPr>
        <w:t xml:space="preserve">, </w:t>
      </w:r>
      <w:r w:rsidR="008114DE">
        <w:rPr>
          <w:lang w:val="en-GB"/>
        </w:rPr>
        <w:t xml:space="preserve">which were </w:t>
      </w:r>
      <w:r w:rsidR="009C0629">
        <w:rPr>
          <w:lang w:val="en-GB"/>
        </w:rPr>
        <w:t xml:space="preserve">tips and </w:t>
      </w:r>
      <w:r w:rsidR="008114DE">
        <w:rPr>
          <w:lang w:val="en-GB"/>
        </w:rPr>
        <w:t xml:space="preserve">information about </w:t>
      </w:r>
      <w:r w:rsidR="009C0629">
        <w:rPr>
          <w:lang w:val="en-GB"/>
        </w:rPr>
        <w:t>medication</w:t>
      </w:r>
      <w:r w:rsidR="00393373">
        <w:rPr>
          <w:lang w:val="en-GB"/>
        </w:rPr>
        <w:t xml:space="preserve"> for quitting</w:t>
      </w:r>
      <w:r w:rsidR="009C0629">
        <w:rPr>
          <w:lang w:val="en-GB"/>
        </w:rPr>
        <w:t xml:space="preserve">. </w:t>
      </w:r>
      <w:r w:rsidR="00AC0B34">
        <w:rPr>
          <w:lang w:val="en-GB"/>
        </w:rPr>
        <w:t xml:space="preserve">Future studies should investigate whether tailoring </w:t>
      </w:r>
      <w:r w:rsidR="008114DE">
        <w:rPr>
          <w:lang w:val="en-GB"/>
        </w:rPr>
        <w:t xml:space="preserve">mobile phone-based interventions </w:t>
      </w:r>
      <w:r w:rsidR="00AC0B34">
        <w:rPr>
          <w:lang w:val="en-GB"/>
        </w:rPr>
        <w:t xml:space="preserve">to </w:t>
      </w:r>
      <w:r w:rsidR="008114DE">
        <w:rPr>
          <w:lang w:val="en-GB"/>
        </w:rPr>
        <w:t xml:space="preserve">a person’s </w:t>
      </w:r>
      <w:r w:rsidR="00AC0B34">
        <w:rPr>
          <w:lang w:val="en-GB"/>
        </w:rPr>
        <w:t>immigra</w:t>
      </w:r>
      <w:r w:rsidR="008114DE">
        <w:rPr>
          <w:lang w:val="en-GB"/>
        </w:rPr>
        <w:t>nt</w:t>
      </w:r>
      <w:r w:rsidR="00AC0B34">
        <w:rPr>
          <w:lang w:val="en-GB"/>
        </w:rPr>
        <w:t xml:space="preserve"> background </w:t>
      </w:r>
      <w:r w:rsidR="008114DE">
        <w:rPr>
          <w:lang w:val="en-GB"/>
        </w:rPr>
        <w:t xml:space="preserve">impacts </w:t>
      </w:r>
      <w:r w:rsidR="0049645B">
        <w:rPr>
          <w:lang w:val="en-GB"/>
        </w:rPr>
        <w:t>the</w:t>
      </w:r>
      <w:r w:rsidR="00EB78A5">
        <w:rPr>
          <w:lang w:val="en-GB"/>
        </w:rPr>
        <w:t xml:space="preserve"> intervention’s</w:t>
      </w:r>
      <w:r w:rsidR="00AC0B34">
        <w:rPr>
          <w:lang w:val="en-GB"/>
        </w:rPr>
        <w:t xml:space="preserve"> effectiveness. </w:t>
      </w:r>
      <w:r w:rsidR="00D318B9">
        <w:rPr>
          <w:lang w:val="en-GB"/>
        </w:rPr>
        <w:t>Text messages for adolescents with an immigra</w:t>
      </w:r>
      <w:r w:rsidR="008114DE">
        <w:rPr>
          <w:lang w:val="en-GB"/>
        </w:rPr>
        <w:t>nt</w:t>
      </w:r>
      <w:r w:rsidR="00D318B9">
        <w:rPr>
          <w:lang w:val="en-GB"/>
        </w:rPr>
        <w:t xml:space="preserve"> background could focus more </w:t>
      </w:r>
      <w:r w:rsidR="008114DE">
        <w:rPr>
          <w:lang w:val="en-GB"/>
        </w:rPr>
        <w:t xml:space="preserve">heavily </w:t>
      </w:r>
      <w:r w:rsidR="00D1645D">
        <w:rPr>
          <w:lang w:val="en-GB"/>
        </w:rPr>
        <w:t>on information and fact</w:t>
      </w:r>
      <w:r w:rsidR="004565C9">
        <w:rPr>
          <w:lang w:val="en-GB"/>
        </w:rPr>
        <w:t>-deliver</w:t>
      </w:r>
      <w:r w:rsidR="008114DE">
        <w:rPr>
          <w:lang w:val="en-GB"/>
        </w:rPr>
        <w:t>y</w:t>
      </w:r>
      <w:r w:rsidR="004565C9">
        <w:rPr>
          <w:lang w:val="en-GB"/>
        </w:rPr>
        <w:t>.</w:t>
      </w:r>
    </w:p>
    <w:p w14:paraId="16D2428E" w14:textId="7F3792AC" w:rsidR="000A4692" w:rsidRPr="00392D86" w:rsidRDefault="00A611F6" w:rsidP="00393373">
      <w:pPr>
        <w:autoSpaceDE w:val="0"/>
        <w:autoSpaceDN w:val="0"/>
        <w:adjustRightInd w:val="0"/>
        <w:spacing w:line="480" w:lineRule="auto"/>
        <w:ind w:firstLine="709"/>
        <w:rPr>
          <w:lang w:val="en-GB"/>
        </w:rPr>
      </w:pPr>
      <w:r>
        <w:rPr>
          <w:lang w:val="en-GB"/>
        </w:rPr>
        <w:t xml:space="preserve">Compared </w:t>
      </w:r>
      <w:r w:rsidR="000A4692">
        <w:rPr>
          <w:lang w:val="en-GB"/>
        </w:rPr>
        <w:t xml:space="preserve">to </w:t>
      </w:r>
      <w:r w:rsidR="00F80CBA">
        <w:rPr>
          <w:lang w:val="en-GB"/>
        </w:rPr>
        <w:t>previous research</w:t>
      </w:r>
      <w:r w:rsidR="000A4692">
        <w:rPr>
          <w:lang w:val="en-GB"/>
        </w:rPr>
        <w:t>,</w:t>
      </w:r>
      <w:r w:rsidR="006E5383">
        <w:rPr>
          <w:lang w:val="en-GB"/>
        </w:rPr>
        <w:t xml:space="preserve"> the current</w:t>
      </w:r>
      <w:r w:rsidR="00F80CBA">
        <w:rPr>
          <w:lang w:val="en-GB"/>
        </w:rPr>
        <w:t xml:space="preserve"> finding</w:t>
      </w:r>
      <w:r w:rsidR="001B2CA1">
        <w:rPr>
          <w:lang w:val="en-GB"/>
        </w:rPr>
        <w:t>s underline</w:t>
      </w:r>
      <w:r w:rsidR="00F80CBA">
        <w:rPr>
          <w:lang w:val="en-GB"/>
        </w:rPr>
        <w:t xml:space="preserve"> the </w:t>
      </w:r>
      <w:r w:rsidR="001B2CA1">
        <w:rPr>
          <w:lang w:val="en-GB"/>
        </w:rPr>
        <w:t>relevance</w:t>
      </w:r>
      <w:r w:rsidR="00F80CBA">
        <w:rPr>
          <w:lang w:val="en-GB"/>
        </w:rPr>
        <w:t xml:space="preserve"> of</w:t>
      </w:r>
      <w:r w:rsidR="006E5383">
        <w:rPr>
          <w:lang w:val="en-GB"/>
        </w:rPr>
        <w:t xml:space="preserve"> </w:t>
      </w:r>
      <w:r w:rsidR="00F80CBA">
        <w:rPr>
          <w:lang w:val="en-GB"/>
        </w:rPr>
        <w:t xml:space="preserve">hazardous alcohol use </w:t>
      </w:r>
      <w:r w:rsidR="008114DE">
        <w:rPr>
          <w:lang w:val="en-GB"/>
        </w:rPr>
        <w:t>in</w:t>
      </w:r>
      <w:r w:rsidR="001B2CA1">
        <w:rPr>
          <w:lang w:val="en-GB"/>
        </w:rPr>
        <w:t xml:space="preserve"> predicting</w:t>
      </w:r>
      <w:r w:rsidR="00F80CBA">
        <w:rPr>
          <w:lang w:val="en-GB"/>
        </w:rPr>
        <w:t xml:space="preserve"> engagement</w:t>
      </w:r>
      <w:r w:rsidR="001B2CA1">
        <w:rPr>
          <w:lang w:val="en-GB"/>
        </w:rPr>
        <w:t xml:space="preserve"> with a smoking cessation program</w:t>
      </w:r>
      <w:r w:rsidR="000A4692">
        <w:rPr>
          <w:lang w:val="en-GB"/>
        </w:rPr>
        <w:t xml:space="preserve">. </w:t>
      </w:r>
      <w:r w:rsidR="00E66526">
        <w:rPr>
          <w:lang w:val="en-GB"/>
        </w:rPr>
        <w:t>Recent studies on tobacco interventions</w:t>
      </w:r>
      <w:r w:rsidR="000A4692">
        <w:rPr>
          <w:lang w:val="en-GB"/>
        </w:rPr>
        <w:t xml:space="preserve"> </w:t>
      </w:r>
      <w:r w:rsidR="00E91A9D" w:rsidRPr="00E91A9D">
        <w:rPr>
          <w:lang w:val="en-GB"/>
        </w:rPr>
        <w:t>[33–35]</w:t>
      </w:r>
      <w:r w:rsidR="00ED01C2">
        <w:rPr>
          <w:lang w:val="en-GB"/>
        </w:rPr>
        <w:t xml:space="preserve"> </w:t>
      </w:r>
      <w:r w:rsidR="000A4692">
        <w:rPr>
          <w:lang w:val="en-GB"/>
        </w:rPr>
        <w:t>ha</w:t>
      </w:r>
      <w:r w:rsidR="007F10F4">
        <w:rPr>
          <w:lang w:val="en-GB"/>
        </w:rPr>
        <w:t>ve</w:t>
      </w:r>
      <w:r w:rsidR="000A4692">
        <w:rPr>
          <w:lang w:val="en-GB"/>
        </w:rPr>
        <w:t xml:space="preserve"> already </w:t>
      </w:r>
      <w:r w:rsidR="00C834C6">
        <w:rPr>
          <w:lang w:val="en-GB"/>
        </w:rPr>
        <w:t>highlighted</w:t>
      </w:r>
      <w:r w:rsidR="000A4692">
        <w:rPr>
          <w:lang w:val="en-GB"/>
        </w:rPr>
        <w:t xml:space="preserve"> the underestimated role of </w:t>
      </w:r>
      <w:r w:rsidR="008114DE">
        <w:rPr>
          <w:lang w:val="en-GB"/>
        </w:rPr>
        <w:t xml:space="preserve">combined </w:t>
      </w:r>
      <w:r w:rsidR="00C834C6">
        <w:rPr>
          <w:lang w:val="en-GB"/>
        </w:rPr>
        <w:t xml:space="preserve">alcohol and tobacco </w:t>
      </w:r>
      <w:r w:rsidR="008114DE">
        <w:rPr>
          <w:lang w:val="en-GB"/>
        </w:rPr>
        <w:t xml:space="preserve">use </w:t>
      </w:r>
      <w:r w:rsidR="0049645B">
        <w:rPr>
          <w:lang w:val="en-GB"/>
        </w:rPr>
        <w:t>among</w:t>
      </w:r>
      <w:r w:rsidR="00C834C6">
        <w:rPr>
          <w:lang w:val="en-GB"/>
        </w:rPr>
        <w:t xml:space="preserve"> adolescents and its association with </w:t>
      </w:r>
      <w:r w:rsidR="00E511CB">
        <w:rPr>
          <w:lang w:val="en-GB"/>
        </w:rPr>
        <w:t>intervention</w:t>
      </w:r>
      <w:r w:rsidR="00C834C6">
        <w:rPr>
          <w:lang w:val="en-GB"/>
        </w:rPr>
        <w:t xml:space="preserve"> </w:t>
      </w:r>
      <w:r w:rsidR="00C834C6">
        <w:rPr>
          <w:lang w:val="en-GB"/>
        </w:rPr>
        <w:lastRenderedPageBreak/>
        <w:t>effectiveness</w:t>
      </w:r>
      <w:r w:rsidR="000A4692">
        <w:rPr>
          <w:lang w:val="en-GB"/>
        </w:rPr>
        <w:t xml:space="preserve">. </w:t>
      </w:r>
      <w:r w:rsidR="00ED01C2">
        <w:rPr>
          <w:lang w:val="en-GB"/>
        </w:rPr>
        <w:t xml:space="preserve">Not only </w:t>
      </w:r>
      <w:r w:rsidR="008114DE">
        <w:rPr>
          <w:lang w:val="en-GB"/>
        </w:rPr>
        <w:t>might</w:t>
      </w:r>
      <w:r w:rsidR="00ED01C2">
        <w:rPr>
          <w:lang w:val="en-GB"/>
        </w:rPr>
        <w:t xml:space="preserve"> m</w:t>
      </w:r>
      <w:r w:rsidR="000A4692">
        <w:rPr>
          <w:lang w:val="en-GB"/>
        </w:rPr>
        <w:t xml:space="preserve">obile phone-based smoking cessation programs </w:t>
      </w:r>
      <w:r w:rsidR="00914A8A">
        <w:rPr>
          <w:lang w:val="en-GB"/>
        </w:rPr>
        <w:t xml:space="preserve">be more effective in adolescents who smoke and binge drink </w:t>
      </w:r>
      <w:r w:rsidR="00E91A9D" w:rsidRPr="00E91A9D">
        <w:rPr>
          <w:lang w:val="en-GB"/>
        </w:rPr>
        <w:t>[9</w:t>
      </w:r>
      <w:proofErr w:type="gramStart"/>
      <w:r w:rsidR="00E91A9D" w:rsidRPr="00E91A9D">
        <w:rPr>
          <w:lang w:val="en-GB"/>
        </w:rPr>
        <w:t>,33</w:t>
      </w:r>
      <w:proofErr w:type="gramEnd"/>
      <w:r w:rsidR="00E91A9D" w:rsidRPr="00E91A9D">
        <w:rPr>
          <w:lang w:val="en-GB"/>
        </w:rPr>
        <w:t>–35]</w:t>
      </w:r>
      <w:r w:rsidR="00EB78A5">
        <w:rPr>
          <w:lang w:val="en-GB"/>
        </w:rPr>
        <w:t>,</w:t>
      </w:r>
      <w:r w:rsidR="000A4692">
        <w:rPr>
          <w:lang w:val="en-GB"/>
        </w:rPr>
        <w:t xml:space="preserve"> </w:t>
      </w:r>
      <w:r w:rsidR="00914A8A">
        <w:rPr>
          <w:lang w:val="en-GB"/>
        </w:rPr>
        <w:t xml:space="preserve">they </w:t>
      </w:r>
      <w:r w:rsidR="008114DE">
        <w:rPr>
          <w:lang w:val="en-GB"/>
        </w:rPr>
        <w:t xml:space="preserve">also could </w:t>
      </w:r>
      <w:r w:rsidR="000A4692">
        <w:rPr>
          <w:lang w:val="en-GB"/>
        </w:rPr>
        <w:t xml:space="preserve">be more attractive </w:t>
      </w:r>
      <w:r w:rsidR="008114DE">
        <w:rPr>
          <w:lang w:val="en-GB"/>
        </w:rPr>
        <w:t>to</w:t>
      </w:r>
      <w:r w:rsidR="00914A8A">
        <w:rPr>
          <w:lang w:val="en-GB"/>
        </w:rPr>
        <w:t xml:space="preserve"> those adolescents</w:t>
      </w:r>
      <w:r w:rsidR="000A4692">
        <w:rPr>
          <w:lang w:val="en-GB"/>
        </w:rPr>
        <w:t xml:space="preserve">. </w:t>
      </w:r>
      <w:r w:rsidR="00EB78A5">
        <w:rPr>
          <w:lang w:val="en-GB"/>
        </w:rPr>
        <w:t>As such, m</w:t>
      </w:r>
      <w:r w:rsidR="00AC5154">
        <w:rPr>
          <w:lang w:val="en-GB"/>
        </w:rPr>
        <w:t xml:space="preserve">easures are needed to make smoking cessation </w:t>
      </w:r>
      <w:r w:rsidR="00AC5154" w:rsidRPr="00392D86">
        <w:rPr>
          <w:lang w:val="en-GB"/>
        </w:rPr>
        <w:t xml:space="preserve">programs more attractive for adolescents who smoke but do not drink excessively. </w:t>
      </w:r>
    </w:p>
    <w:p w14:paraId="0DA7E578" w14:textId="48C89B7B" w:rsidR="002D1A36" w:rsidRPr="00392D86" w:rsidRDefault="002D1A36" w:rsidP="002D1A36">
      <w:pPr>
        <w:autoSpaceDE w:val="0"/>
        <w:autoSpaceDN w:val="0"/>
        <w:adjustRightInd w:val="0"/>
        <w:spacing w:line="480" w:lineRule="auto"/>
        <w:ind w:firstLine="709"/>
        <w:rPr>
          <w:lang w:val="en-GB"/>
        </w:rPr>
      </w:pPr>
      <w:r w:rsidRPr="00392D86">
        <w:rPr>
          <w:lang w:val="en-GB"/>
        </w:rPr>
        <w:t>Contrary to</w:t>
      </w:r>
      <w:r w:rsidR="00280EB4" w:rsidRPr="00392D86">
        <w:rPr>
          <w:lang w:val="en-GB"/>
        </w:rPr>
        <w:t xml:space="preserve"> previous work</w:t>
      </w:r>
      <w:r w:rsidR="004565C9" w:rsidRPr="00392D86">
        <w:rPr>
          <w:lang w:val="en-GB"/>
        </w:rPr>
        <w:t xml:space="preserve"> on adult smokers</w:t>
      </w:r>
      <w:r w:rsidR="00280EB4" w:rsidRPr="00392D86">
        <w:rPr>
          <w:lang w:val="en-GB"/>
        </w:rPr>
        <w:t xml:space="preserve"> </w:t>
      </w:r>
      <w:r w:rsidR="00BA2D5A" w:rsidRPr="00392D86">
        <w:rPr>
          <w:lang w:val="en-GB"/>
        </w:rPr>
        <w:t>[17,15,14]</w:t>
      </w:r>
      <w:r w:rsidR="00280EB4" w:rsidRPr="00392D86">
        <w:rPr>
          <w:lang w:val="en-GB"/>
        </w:rPr>
        <w:t xml:space="preserve">, we </w:t>
      </w:r>
      <w:r w:rsidRPr="00392D86">
        <w:rPr>
          <w:lang w:val="en-GB"/>
        </w:rPr>
        <w:t>were not able to</w:t>
      </w:r>
      <w:r w:rsidR="003C7F98">
        <w:rPr>
          <w:lang w:val="en-GB"/>
        </w:rPr>
        <w:t xml:space="preserve"> certainly</w:t>
      </w:r>
      <w:r w:rsidRPr="00392D86">
        <w:rPr>
          <w:lang w:val="en-GB"/>
        </w:rPr>
        <w:t xml:space="preserve"> discern if</w:t>
      </w:r>
      <w:r w:rsidR="00280EB4" w:rsidRPr="00392D86">
        <w:rPr>
          <w:lang w:val="en-GB"/>
        </w:rPr>
        <w:t xml:space="preserve"> </w:t>
      </w:r>
      <w:r w:rsidR="009E48EB" w:rsidRPr="00392D86">
        <w:rPr>
          <w:lang w:val="en-GB"/>
        </w:rPr>
        <w:t xml:space="preserve">more </w:t>
      </w:r>
      <w:r w:rsidR="00280EB4" w:rsidRPr="00392D86">
        <w:rPr>
          <w:lang w:val="en-GB"/>
        </w:rPr>
        <w:t xml:space="preserve">engaged subjects </w:t>
      </w:r>
      <w:r w:rsidR="006278D5" w:rsidRPr="00392D86">
        <w:rPr>
          <w:lang w:val="en-GB"/>
        </w:rPr>
        <w:t xml:space="preserve">were more likely </w:t>
      </w:r>
      <w:r w:rsidR="00A53C64" w:rsidRPr="00392D86">
        <w:rPr>
          <w:lang w:val="en-GB"/>
        </w:rPr>
        <w:t xml:space="preserve">to </w:t>
      </w:r>
      <w:r w:rsidR="00280EB4" w:rsidRPr="00392D86">
        <w:rPr>
          <w:lang w:val="en-GB"/>
        </w:rPr>
        <w:t xml:space="preserve">be </w:t>
      </w:r>
      <w:r w:rsidR="00A53C64" w:rsidRPr="00392D86">
        <w:rPr>
          <w:lang w:val="en-GB"/>
        </w:rPr>
        <w:t xml:space="preserve">cigarette </w:t>
      </w:r>
      <w:r w:rsidR="00280EB4" w:rsidRPr="00392D86">
        <w:rPr>
          <w:lang w:val="en-GB"/>
        </w:rPr>
        <w:t>abstinent after the intervention</w:t>
      </w:r>
      <w:r w:rsidRPr="00392D86">
        <w:rPr>
          <w:lang w:val="en-GB"/>
        </w:rPr>
        <w:t xml:space="preserve">. This was due to the different reach at follow-up of more engaged </w:t>
      </w:r>
      <w:r w:rsidR="003C7F98">
        <w:rPr>
          <w:lang w:val="en-GB"/>
        </w:rPr>
        <w:t>compared to</w:t>
      </w:r>
      <w:r w:rsidRPr="00392D86">
        <w:rPr>
          <w:lang w:val="en-GB"/>
        </w:rPr>
        <w:t xml:space="preserve"> less engaged participants.</w:t>
      </w:r>
      <w:r w:rsidR="00280EB4" w:rsidRPr="00392D86">
        <w:rPr>
          <w:lang w:val="en-GB"/>
        </w:rPr>
        <w:t xml:space="preserve"> </w:t>
      </w:r>
      <w:r w:rsidRPr="00392D86">
        <w:rPr>
          <w:lang w:val="en-GB"/>
        </w:rPr>
        <w:t xml:space="preserve">The only stable </w:t>
      </w:r>
      <w:r w:rsidR="00392D86" w:rsidRPr="00392D86">
        <w:rPr>
          <w:lang w:val="en-GB"/>
        </w:rPr>
        <w:t xml:space="preserve">finding </w:t>
      </w:r>
      <w:r w:rsidRPr="00392D86">
        <w:rPr>
          <w:lang w:val="en-GB"/>
        </w:rPr>
        <w:t xml:space="preserve">over all </w:t>
      </w:r>
      <w:r w:rsidR="003C7F98">
        <w:rPr>
          <w:lang w:val="en-GB"/>
        </w:rPr>
        <w:t>statistical assumptions</w:t>
      </w:r>
      <w:r w:rsidRPr="00392D86">
        <w:rPr>
          <w:lang w:val="en-GB"/>
        </w:rPr>
        <w:t xml:space="preserve"> was that a decreasing engagement trajectory was associated with a greater reduction in daily tobacco use than a non-stable engagement trajectory. This result suggests that not only stable engagement, but also decreasing engagement might be an indicator of behaviour change. As illustrated by other studies [14</w:t>
      </w:r>
      <w:proofErr w:type="gramStart"/>
      <w:r w:rsidRPr="00392D86">
        <w:rPr>
          <w:lang w:val="en-GB"/>
        </w:rPr>
        <w:t>,19</w:t>
      </w:r>
      <w:proofErr w:type="gramEnd"/>
      <w:r w:rsidRPr="00392D86">
        <w:rPr>
          <w:lang w:val="en-GB"/>
        </w:rPr>
        <w:t xml:space="preserve">], disengaging from an intervention might not necessarily mean disengaging from behavioural change. Instead, it could indicate a shift from extrinsic to intrinsic motivation [36]. This conjecture is supported by the observation that subjects who remained highly engaged generally had less intention to quit smoking at the beginning of the intervention than those who exhibited decreasing engagement with the program. </w:t>
      </w:r>
    </w:p>
    <w:p w14:paraId="664B0F0B" w14:textId="59E8D862" w:rsidR="002959FA" w:rsidRDefault="00A53C64" w:rsidP="00392D86">
      <w:pPr>
        <w:autoSpaceDE w:val="0"/>
        <w:autoSpaceDN w:val="0"/>
        <w:adjustRightInd w:val="0"/>
        <w:spacing w:line="480" w:lineRule="auto"/>
        <w:ind w:firstLine="708"/>
        <w:rPr>
          <w:lang w:val="en-GB"/>
        </w:rPr>
      </w:pPr>
      <w:r w:rsidRPr="00392D86">
        <w:rPr>
          <w:lang w:val="en-GB"/>
        </w:rPr>
        <w:t xml:space="preserve">One major </w:t>
      </w:r>
      <w:r w:rsidR="00DF0CBC" w:rsidRPr="00392D86">
        <w:rPr>
          <w:lang w:val="en-GB"/>
        </w:rPr>
        <w:t>challenge of future research</w:t>
      </w:r>
      <w:r w:rsidR="00ED1486" w:rsidRPr="00392D86">
        <w:rPr>
          <w:lang w:val="en-GB"/>
        </w:rPr>
        <w:t>, however,</w:t>
      </w:r>
      <w:r w:rsidR="00DF0CBC" w:rsidRPr="00392D86">
        <w:rPr>
          <w:lang w:val="en-GB"/>
        </w:rPr>
        <w:t xml:space="preserve"> will be to sort out which kind of intervention is apt for non-engagers. </w:t>
      </w:r>
      <w:r w:rsidRPr="00392D86">
        <w:rPr>
          <w:lang w:val="en-GB"/>
        </w:rPr>
        <w:t>One s</w:t>
      </w:r>
      <w:r w:rsidR="00ED1486" w:rsidRPr="00392D86">
        <w:rPr>
          <w:lang w:val="en-GB"/>
        </w:rPr>
        <w:t xml:space="preserve">tarting point will be to adapt smoking cessation programs for adolescents </w:t>
      </w:r>
      <w:r w:rsidRPr="00392D86">
        <w:rPr>
          <w:lang w:val="en-GB"/>
        </w:rPr>
        <w:t xml:space="preserve">to address </w:t>
      </w:r>
      <w:r w:rsidR="00ED1486" w:rsidRPr="00392D86">
        <w:rPr>
          <w:lang w:val="en-GB"/>
        </w:rPr>
        <w:t>immigra</w:t>
      </w:r>
      <w:r w:rsidRPr="00392D86">
        <w:rPr>
          <w:lang w:val="en-GB"/>
        </w:rPr>
        <w:t>nt</w:t>
      </w:r>
      <w:r w:rsidR="00ED1486" w:rsidRPr="00392D86">
        <w:rPr>
          <w:lang w:val="en-GB"/>
        </w:rPr>
        <w:t xml:space="preserve"> background</w:t>
      </w:r>
      <w:r w:rsidRPr="00392D86">
        <w:rPr>
          <w:lang w:val="en-GB"/>
        </w:rPr>
        <w:t>s</w:t>
      </w:r>
      <w:r w:rsidR="00ED1486" w:rsidRPr="00392D86">
        <w:rPr>
          <w:lang w:val="en-GB"/>
        </w:rPr>
        <w:t xml:space="preserve"> and drinking behaviour</w:t>
      </w:r>
      <w:r w:rsidRPr="00392D86">
        <w:rPr>
          <w:lang w:val="en-GB"/>
        </w:rPr>
        <w:t>s</w:t>
      </w:r>
      <w:r w:rsidR="00ED1486" w:rsidRPr="00392D86">
        <w:rPr>
          <w:lang w:val="en-GB"/>
        </w:rPr>
        <w:t xml:space="preserve"> to prevent stable non-engagement and</w:t>
      </w:r>
      <w:r w:rsidRPr="00392D86">
        <w:rPr>
          <w:lang w:val="en-GB"/>
        </w:rPr>
        <w:t>,</w:t>
      </w:r>
      <w:r w:rsidR="00ED1486" w:rsidRPr="00392D86">
        <w:rPr>
          <w:lang w:val="en-GB"/>
        </w:rPr>
        <w:t xml:space="preserve"> thereby</w:t>
      </w:r>
      <w:r w:rsidRPr="00392D86">
        <w:rPr>
          <w:lang w:val="en-GB"/>
        </w:rPr>
        <w:t>,</w:t>
      </w:r>
      <w:r w:rsidR="00ED1486" w:rsidRPr="00392D86">
        <w:rPr>
          <w:lang w:val="en-GB"/>
        </w:rPr>
        <w:t xml:space="preserve"> potentially </w:t>
      </w:r>
      <w:r w:rsidRPr="00392D86">
        <w:rPr>
          <w:lang w:val="en-GB"/>
        </w:rPr>
        <w:t xml:space="preserve">enhance </w:t>
      </w:r>
      <w:r w:rsidR="00ED1486" w:rsidRPr="00392D86">
        <w:rPr>
          <w:lang w:val="en-GB"/>
        </w:rPr>
        <w:t xml:space="preserve">treatment effectiveness. </w:t>
      </w:r>
      <w:r w:rsidR="00DF0CBC" w:rsidRPr="00392D86">
        <w:rPr>
          <w:lang w:val="en-GB"/>
        </w:rPr>
        <w:t xml:space="preserve">Considering that most stable non-engagers were </w:t>
      </w:r>
      <w:r w:rsidRPr="00392D86">
        <w:rPr>
          <w:lang w:val="en-GB"/>
        </w:rPr>
        <w:t xml:space="preserve">more </w:t>
      </w:r>
      <w:r w:rsidR="00DF0CBC" w:rsidRPr="00392D86">
        <w:rPr>
          <w:lang w:val="en-GB"/>
        </w:rPr>
        <w:t>high</w:t>
      </w:r>
      <w:r w:rsidRPr="00392D86">
        <w:rPr>
          <w:lang w:val="en-GB"/>
        </w:rPr>
        <w:t>ly</w:t>
      </w:r>
      <w:r w:rsidR="00DF0CBC" w:rsidRPr="00392D86">
        <w:rPr>
          <w:lang w:val="en-GB"/>
        </w:rPr>
        <w:t xml:space="preserve"> motivated to quit smoking at baseline than most stable engagers, </w:t>
      </w:r>
      <w:r w:rsidRPr="00392D86">
        <w:rPr>
          <w:lang w:val="en-GB"/>
        </w:rPr>
        <w:t xml:space="preserve">one </w:t>
      </w:r>
      <w:r w:rsidR="00DF0CBC" w:rsidRPr="00392D86">
        <w:rPr>
          <w:lang w:val="en-GB"/>
        </w:rPr>
        <w:t>question to answer will be if action</w:t>
      </w:r>
      <w:r w:rsidR="00231404" w:rsidRPr="00392D86">
        <w:rPr>
          <w:lang w:val="en-GB"/>
        </w:rPr>
        <w:t>s</w:t>
      </w:r>
      <w:r w:rsidR="00DF0CBC" w:rsidRPr="00392D86">
        <w:rPr>
          <w:lang w:val="en-GB"/>
        </w:rPr>
        <w:t xml:space="preserve"> must be undertaken to increase active participation or </w:t>
      </w:r>
      <w:r w:rsidR="00231404" w:rsidRPr="00392D86">
        <w:rPr>
          <w:lang w:val="en-GB"/>
        </w:rPr>
        <w:t>not.</w:t>
      </w:r>
      <w:r w:rsidR="00ED1486">
        <w:rPr>
          <w:lang w:val="en-GB"/>
        </w:rPr>
        <w:t xml:space="preserve"> </w:t>
      </w:r>
    </w:p>
    <w:p w14:paraId="688CF874" w14:textId="42539C54" w:rsidR="009B5EDE" w:rsidRDefault="00231404" w:rsidP="00393373">
      <w:pPr>
        <w:autoSpaceDE w:val="0"/>
        <w:autoSpaceDN w:val="0"/>
        <w:adjustRightInd w:val="0"/>
        <w:spacing w:line="480" w:lineRule="auto"/>
        <w:ind w:firstLine="709"/>
        <w:rPr>
          <w:lang w:val="en-GB"/>
        </w:rPr>
      </w:pPr>
      <w:r>
        <w:rPr>
          <w:lang w:val="en-GB"/>
        </w:rPr>
        <w:t xml:space="preserve">The findings of this study </w:t>
      </w:r>
      <w:r w:rsidR="00A53C64">
        <w:rPr>
          <w:lang w:val="en-GB"/>
        </w:rPr>
        <w:t xml:space="preserve">must </w:t>
      </w:r>
      <w:r>
        <w:rPr>
          <w:lang w:val="en-GB"/>
        </w:rPr>
        <w:t xml:space="preserve">be interpreted </w:t>
      </w:r>
      <w:r w:rsidR="00A53C64">
        <w:rPr>
          <w:lang w:val="en-GB"/>
        </w:rPr>
        <w:t>in view of</w:t>
      </w:r>
      <w:r>
        <w:rPr>
          <w:lang w:val="en-GB"/>
        </w:rPr>
        <w:t xml:space="preserve"> its limitations. First, only answers to weekly prompts were included for engagement analysis. </w:t>
      </w:r>
      <w:r w:rsidR="00E1449F">
        <w:rPr>
          <w:lang w:val="en-GB"/>
        </w:rPr>
        <w:t>O</w:t>
      </w:r>
      <w:r>
        <w:rPr>
          <w:lang w:val="en-GB"/>
        </w:rPr>
        <w:t>ther components of the program</w:t>
      </w:r>
      <w:r w:rsidR="00A53C64">
        <w:rPr>
          <w:lang w:val="en-GB"/>
        </w:rPr>
        <w:t xml:space="preserve"> —</w:t>
      </w:r>
      <w:r>
        <w:rPr>
          <w:lang w:val="en-GB"/>
        </w:rPr>
        <w:t xml:space="preserve"> such as downloading media content</w:t>
      </w:r>
      <w:r w:rsidR="00A53C64">
        <w:rPr>
          <w:lang w:val="en-GB"/>
        </w:rPr>
        <w:t>,</w:t>
      </w:r>
      <w:r>
        <w:rPr>
          <w:lang w:val="en-GB"/>
        </w:rPr>
        <w:t xml:space="preserve"> setting a quit</w:t>
      </w:r>
      <w:r w:rsidR="00A53C64">
        <w:rPr>
          <w:lang w:val="en-GB"/>
        </w:rPr>
        <w:t xml:space="preserve"> </w:t>
      </w:r>
      <w:r w:rsidR="008B455F">
        <w:rPr>
          <w:lang w:val="en-GB"/>
        </w:rPr>
        <w:t>date</w:t>
      </w:r>
      <w:r>
        <w:rPr>
          <w:lang w:val="en-GB"/>
        </w:rPr>
        <w:t xml:space="preserve">, </w:t>
      </w:r>
      <w:r w:rsidR="00A53C64">
        <w:rPr>
          <w:lang w:val="en-GB"/>
        </w:rPr>
        <w:t>and</w:t>
      </w:r>
      <w:r>
        <w:rPr>
          <w:lang w:val="en-GB"/>
        </w:rPr>
        <w:t xml:space="preserve"> extra-curricular </w:t>
      </w:r>
      <w:r>
        <w:rPr>
          <w:lang w:val="en-GB"/>
        </w:rPr>
        <w:lastRenderedPageBreak/>
        <w:t>texting behaviour</w:t>
      </w:r>
      <w:r w:rsidR="00A53C64">
        <w:rPr>
          <w:lang w:val="en-GB"/>
        </w:rPr>
        <w:t>s —</w:t>
      </w:r>
      <w:r>
        <w:rPr>
          <w:lang w:val="en-GB"/>
        </w:rPr>
        <w:t xml:space="preserve"> were </w:t>
      </w:r>
      <w:r w:rsidR="00E50DB5">
        <w:rPr>
          <w:lang w:val="en-GB"/>
        </w:rPr>
        <w:t>not included</w:t>
      </w:r>
      <w:r w:rsidR="003103D2">
        <w:rPr>
          <w:lang w:val="en-GB"/>
        </w:rPr>
        <w:t xml:space="preserve"> </w:t>
      </w:r>
      <w:r w:rsidR="008A35D8">
        <w:rPr>
          <w:lang w:val="en-GB"/>
        </w:rPr>
        <w:t>in our analyse</w:t>
      </w:r>
      <w:r>
        <w:rPr>
          <w:lang w:val="en-GB"/>
        </w:rPr>
        <w:t>s</w:t>
      </w:r>
      <w:r w:rsidR="00F3315F">
        <w:rPr>
          <w:lang w:val="en-GB"/>
        </w:rPr>
        <w:t>;</w:t>
      </w:r>
      <w:r>
        <w:rPr>
          <w:lang w:val="en-GB"/>
        </w:rPr>
        <w:t xml:space="preserve"> </w:t>
      </w:r>
      <w:r w:rsidR="00A53C64">
        <w:rPr>
          <w:lang w:val="en-GB"/>
        </w:rPr>
        <w:t xml:space="preserve">and these </w:t>
      </w:r>
      <w:r w:rsidR="00F3315F">
        <w:rPr>
          <w:lang w:val="en-GB"/>
        </w:rPr>
        <w:t xml:space="preserve">components </w:t>
      </w:r>
      <w:r w:rsidR="008B455F">
        <w:rPr>
          <w:lang w:val="en-GB"/>
        </w:rPr>
        <w:t xml:space="preserve">could </w:t>
      </w:r>
      <w:r w:rsidR="00A53C64">
        <w:rPr>
          <w:lang w:val="en-GB"/>
        </w:rPr>
        <w:t xml:space="preserve">all </w:t>
      </w:r>
      <w:r w:rsidR="008B455F">
        <w:rPr>
          <w:lang w:val="en-GB"/>
        </w:rPr>
        <w:t xml:space="preserve">be analysed </w:t>
      </w:r>
      <w:r w:rsidR="00A53C64">
        <w:rPr>
          <w:lang w:val="en-GB"/>
        </w:rPr>
        <w:t xml:space="preserve">to determine their </w:t>
      </w:r>
      <w:r w:rsidR="008B455F">
        <w:rPr>
          <w:lang w:val="en-GB"/>
        </w:rPr>
        <w:t>own</w:t>
      </w:r>
      <w:r>
        <w:rPr>
          <w:lang w:val="en-GB"/>
        </w:rPr>
        <w:t xml:space="preserve"> predictive value</w:t>
      </w:r>
      <w:r w:rsidR="00A53C64">
        <w:rPr>
          <w:lang w:val="en-GB"/>
        </w:rPr>
        <w:t>s</w:t>
      </w:r>
      <w:r>
        <w:rPr>
          <w:lang w:val="en-GB"/>
        </w:rPr>
        <w:t xml:space="preserve"> </w:t>
      </w:r>
      <w:r w:rsidR="00E91A9D" w:rsidRPr="00777F69">
        <w:rPr>
          <w:lang w:val="en-GB"/>
        </w:rPr>
        <w:t>[cf. 14</w:t>
      </w:r>
      <w:proofErr w:type="gramStart"/>
      <w:r w:rsidR="00E91A9D" w:rsidRPr="00777F69">
        <w:rPr>
          <w:lang w:val="en-GB"/>
        </w:rPr>
        <w:t>,37</w:t>
      </w:r>
      <w:proofErr w:type="gramEnd"/>
      <w:r w:rsidR="00E91A9D" w:rsidRPr="00777F69">
        <w:rPr>
          <w:lang w:val="en-GB"/>
        </w:rPr>
        <w:t>]</w:t>
      </w:r>
      <w:r>
        <w:rPr>
          <w:lang w:val="en-GB"/>
        </w:rPr>
        <w:t xml:space="preserve">. </w:t>
      </w:r>
      <w:r w:rsidR="00FA6323">
        <w:rPr>
          <w:lang w:val="en-GB"/>
        </w:rPr>
        <w:t>However, o</w:t>
      </w:r>
      <w:r w:rsidR="00A53C64">
        <w:rPr>
          <w:lang w:val="en-GB"/>
        </w:rPr>
        <w:t xml:space="preserve">ur rationale for selecting </w:t>
      </w:r>
      <w:r w:rsidR="00A25539">
        <w:rPr>
          <w:lang w:val="en-GB"/>
        </w:rPr>
        <w:t xml:space="preserve">answers to prompts that were identical for all participants </w:t>
      </w:r>
      <w:r w:rsidR="00A53C64">
        <w:rPr>
          <w:lang w:val="en-GB"/>
        </w:rPr>
        <w:t xml:space="preserve">was to render our </w:t>
      </w:r>
      <w:r w:rsidR="00E1449F">
        <w:rPr>
          <w:lang w:val="en-GB"/>
        </w:rPr>
        <w:t xml:space="preserve">inter-group </w:t>
      </w:r>
      <w:r w:rsidR="00A53C64">
        <w:rPr>
          <w:lang w:val="en-GB"/>
        </w:rPr>
        <w:t xml:space="preserve">comparisons more </w:t>
      </w:r>
      <w:r w:rsidR="00A25539">
        <w:rPr>
          <w:lang w:val="en-GB"/>
        </w:rPr>
        <w:t xml:space="preserve">interpretable. </w:t>
      </w:r>
      <w:r w:rsidR="00FA6323">
        <w:rPr>
          <w:lang w:val="en-GB"/>
        </w:rPr>
        <w:t>Second</w:t>
      </w:r>
      <w:r w:rsidR="00D77820">
        <w:rPr>
          <w:lang w:val="en-GB"/>
        </w:rPr>
        <w:t xml:space="preserve">, </w:t>
      </w:r>
      <w:r w:rsidR="005872E1">
        <w:rPr>
          <w:lang w:val="en-GB"/>
        </w:rPr>
        <w:t xml:space="preserve">that </w:t>
      </w:r>
      <w:r w:rsidR="00D77820">
        <w:rPr>
          <w:lang w:val="en-GB"/>
        </w:rPr>
        <w:t xml:space="preserve">answers to weekly prompts </w:t>
      </w:r>
      <w:r w:rsidR="007F10F4">
        <w:rPr>
          <w:lang w:val="en-GB"/>
        </w:rPr>
        <w:t xml:space="preserve">were </w:t>
      </w:r>
      <w:r w:rsidR="00D77820">
        <w:rPr>
          <w:lang w:val="en-GB"/>
        </w:rPr>
        <w:t>rewarded with 0.50 Swiss francs to cover the expenses of the adolescents</w:t>
      </w:r>
      <w:r w:rsidR="005872E1">
        <w:rPr>
          <w:lang w:val="en-GB"/>
        </w:rPr>
        <w:t xml:space="preserve"> might have </w:t>
      </w:r>
      <w:r w:rsidR="00D77820">
        <w:rPr>
          <w:lang w:val="en-GB"/>
        </w:rPr>
        <w:t>influence</w:t>
      </w:r>
      <w:r w:rsidR="008B455F">
        <w:rPr>
          <w:lang w:val="en-GB"/>
        </w:rPr>
        <w:t>d</w:t>
      </w:r>
      <w:r w:rsidR="00D77820">
        <w:rPr>
          <w:lang w:val="en-GB"/>
        </w:rPr>
        <w:t xml:space="preserve"> </w:t>
      </w:r>
      <w:r w:rsidR="005872E1">
        <w:rPr>
          <w:lang w:val="en-GB"/>
        </w:rPr>
        <w:t xml:space="preserve">the </w:t>
      </w:r>
      <w:r w:rsidR="008B455F">
        <w:rPr>
          <w:lang w:val="en-GB"/>
        </w:rPr>
        <w:t>adolescents</w:t>
      </w:r>
      <w:r w:rsidR="005872E1">
        <w:rPr>
          <w:lang w:val="en-GB"/>
        </w:rPr>
        <w:t>’</w:t>
      </w:r>
      <w:r w:rsidR="00D77820">
        <w:rPr>
          <w:lang w:val="en-GB"/>
        </w:rPr>
        <w:t xml:space="preserve"> </w:t>
      </w:r>
      <w:r w:rsidR="005872E1">
        <w:rPr>
          <w:lang w:val="en-GB"/>
        </w:rPr>
        <w:t>likelihood of responding</w:t>
      </w:r>
      <w:r w:rsidR="00D77820">
        <w:rPr>
          <w:lang w:val="en-GB"/>
        </w:rPr>
        <w:t xml:space="preserve">. </w:t>
      </w:r>
      <w:r w:rsidR="00FA6323">
        <w:rPr>
          <w:lang w:val="en-GB"/>
        </w:rPr>
        <w:t>Third</w:t>
      </w:r>
      <w:r w:rsidR="008A35D8">
        <w:rPr>
          <w:lang w:val="en-GB"/>
        </w:rPr>
        <w:t xml:space="preserve">, as already </w:t>
      </w:r>
      <w:r w:rsidR="005872E1">
        <w:rPr>
          <w:lang w:val="en-GB"/>
        </w:rPr>
        <w:t xml:space="preserve">emphasized by </w:t>
      </w:r>
      <w:proofErr w:type="spellStart"/>
      <w:r w:rsidR="008A35D8">
        <w:rPr>
          <w:lang w:val="en-GB"/>
        </w:rPr>
        <w:t>Heminger</w:t>
      </w:r>
      <w:proofErr w:type="spellEnd"/>
      <w:r w:rsidR="008A35D8">
        <w:rPr>
          <w:lang w:val="en-GB"/>
        </w:rPr>
        <w:t xml:space="preserve"> et al. </w:t>
      </w:r>
      <w:r w:rsidR="00BA2D5A" w:rsidRPr="00BA2D5A">
        <w:rPr>
          <w:lang w:val="en-GB"/>
        </w:rPr>
        <w:t>[14]</w:t>
      </w:r>
      <w:r w:rsidR="008A35D8">
        <w:rPr>
          <w:lang w:val="en-GB"/>
        </w:rPr>
        <w:t xml:space="preserve">, quantity and quality of answers to prompts </w:t>
      </w:r>
      <w:r w:rsidR="0002175E">
        <w:rPr>
          <w:lang w:val="en-GB"/>
        </w:rPr>
        <w:t>could</w:t>
      </w:r>
      <w:r w:rsidR="009B5EDE">
        <w:rPr>
          <w:lang w:val="en-GB"/>
        </w:rPr>
        <w:t xml:space="preserve"> </w:t>
      </w:r>
      <w:r w:rsidR="0054527B">
        <w:rPr>
          <w:lang w:val="en-GB"/>
        </w:rPr>
        <w:t>qualitatively differ</w:t>
      </w:r>
      <w:r w:rsidR="009B5EDE">
        <w:rPr>
          <w:lang w:val="en-GB"/>
        </w:rPr>
        <w:t xml:space="preserve"> (e.g., a smoker </w:t>
      </w:r>
      <w:r w:rsidR="0002175E">
        <w:rPr>
          <w:lang w:val="en-GB"/>
        </w:rPr>
        <w:t>who</w:t>
      </w:r>
      <w:r w:rsidR="009B5EDE">
        <w:rPr>
          <w:lang w:val="en-GB"/>
        </w:rPr>
        <w:t xml:space="preserve"> </w:t>
      </w:r>
      <w:r w:rsidR="005872E1">
        <w:rPr>
          <w:lang w:val="en-GB"/>
        </w:rPr>
        <w:t xml:space="preserve">replies </w:t>
      </w:r>
      <w:r w:rsidR="009B5EDE">
        <w:rPr>
          <w:lang w:val="en-GB"/>
        </w:rPr>
        <w:t>to all smoking-related prompts and indicate</w:t>
      </w:r>
      <w:r w:rsidR="0002175E">
        <w:rPr>
          <w:lang w:val="en-GB"/>
        </w:rPr>
        <w:t>s</w:t>
      </w:r>
      <w:r w:rsidR="009B5EDE">
        <w:rPr>
          <w:lang w:val="en-GB"/>
        </w:rPr>
        <w:t xml:space="preserve"> </w:t>
      </w:r>
      <w:r w:rsidR="005872E1">
        <w:rPr>
          <w:lang w:val="en-GB"/>
        </w:rPr>
        <w:t xml:space="preserve">greater daily </w:t>
      </w:r>
      <w:r w:rsidR="009B5EDE">
        <w:rPr>
          <w:lang w:val="en-GB"/>
        </w:rPr>
        <w:t>use of cigarettes). Rather than just analysing registered events, future qualit</w:t>
      </w:r>
      <w:r w:rsidR="00E1449F">
        <w:rPr>
          <w:lang w:val="en-GB"/>
        </w:rPr>
        <w:t>ative</w:t>
      </w:r>
      <w:r w:rsidR="009B5EDE">
        <w:rPr>
          <w:lang w:val="en-GB"/>
        </w:rPr>
        <w:t xml:space="preserve"> work should investigate whether the content of answers is associated </w:t>
      </w:r>
      <w:r w:rsidR="005872E1">
        <w:rPr>
          <w:lang w:val="en-GB"/>
        </w:rPr>
        <w:t>with</w:t>
      </w:r>
      <w:r w:rsidR="009B5EDE">
        <w:rPr>
          <w:lang w:val="en-GB"/>
        </w:rPr>
        <w:t xml:space="preserve"> treatment outcomes. </w:t>
      </w:r>
      <w:r w:rsidR="00494AEA">
        <w:rPr>
          <w:lang w:val="en-GB"/>
        </w:rPr>
        <w:t>In addition, qualit</w:t>
      </w:r>
      <w:r w:rsidR="005872E1">
        <w:rPr>
          <w:lang w:val="en-GB"/>
        </w:rPr>
        <w:t>ative</w:t>
      </w:r>
      <w:r w:rsidR="00494AEA">
        <w:rPr>
          <w:lang w:val="en-GB"/>
        </w:rPr>
        <w:t xml:space="preserve"> research should further investigate the </w:t>
      </w:r>
      <w:r w:rsidR="005872E1">
        <w:rPr>
          <w:lang w:val="en-GB"/>
        </w:rPr>
        <w:t xml:space="preserve">different forms of </w:t>
      </w:r>
      <w:r w:rsidR="00494AEA">
        <w:rPr>
          <w:lang w:val="en-GB"/>
        </w:rPr>
        <w:t xml:space="preserve">motivation underlying engagement trajectories among smokers. </w:t>
      </w:r>
      <w:r w:rsidR="00494AEA" w:rsidRPr="00FA6323">
        <w:rPr>
          <w:lang w:val="en-GB"/>
        </w:rPr>
        <w:t>A</w:t>
      </w:r>
      <w:r w:rsidR="00335DD4" w:rsidRPr="00FA6323">
        <w:rPr>
          <w:lang w:val="en-GB"/>
        </w:rPr>
        <w:t xml:space="preserve">s stated elsewhere </w:t>
      </w:r>
      <w:r w:rsidR="00BA2D5A" w:rsidRPr="00FA6323">
        <w:rPr>
          <w:lang w:val="en-GB"/>
        </w:rPr>
        <w:t>[11]</w:t>
      </w:r>
      <w:r w:rsidR="00335DD4" w:rsidRPr="00FA6323">
        <w:rPr>
          <w:lang w:val="en-GB"/>
        </w:rPr>
        <w:t xml:space="preserve">, </w:t>
      </w:r>
      <w:r w:rsidR="00494AEA" w:rsidRPr="00FA6323">
        <w:rPr>
          <w:lang w:val="en-GB"/>
        </w:rPr>
        <w:t>some highly</w:t>
      </w:r>
      <w:r w:rsidR="005872E1" w:rsidRPr="00FA6323">
        <w:rPr>
          <w:lang w:val="en-GB"/>
        </w:rPr>
        <w:t>-</w:t>
      </w:r>
      <w:r w:rsidR="00494AEA" w:rsidRPr="00FA6323">
        <w:rPr>
          <w:lang w:val="en-GB"/>
        </w:rPr>
        <w:t xml:space="preserve">engaged participants </w:t>
      </w:r>
      <w:r w:rsidR="005872E1" w:rsidRPr="00FA6323">
        <w:rPr>
          <w:lang w:val="en-GB"/>
        </w:rPr>
        <w:t>might</w:t>
      </w:r>
      <w:r w:rsidR="00494AEA" w:rsidRPr="00FA6323">
        <w:rPr>
          <w:lang w:val="en-GB"/>
        </w:rPr>
        <w:t xml:space="preserve"> have seen the program as integral to maintaining abstinence, while other non-abstinent smokers may have </w:t>
      </w:r>
      <w:r w:rsidR="005872E1" w:rsidRPr="00FA6323">
        <w:rPr>
          <w:lang w:val="en-GB"/>
        </w:rPr>
        <w:t xml:space="preserve">remained </w:t>
      </w:r>
      <w:r w:rsidR="00494AEA" w:rsidRPr="00FA6323">
        <w:rPr>
          <w:lang w:val="en-GB"/>
        </w:rPr>
        <w:t xml:space="preserve">highly engaged to prepare for future </w:t>
      </w:r>
      <w:r w:rsidR="005872E1" w:rsidRPr="00FA6323">
        <w:rPr>
          <w:lang w:val="en-GB"/>
        </w:rPr>
        <w:t xml:space="preserve">smoking cessation </w:t>
      </w:r>
      <w:r w:rsidR="00494AEA" w:rsidRPr="00FA6323">
        <w:rPr>
          <w:lang w:val="en-GB"/>
        </w:rPr>
        <w:t>attempts</w:t>
      </w:r>
      <w:r w:rsidR="008B455F" w:rsidRPr="00FA6323">
        <w:rPr>
          <w:lang w:val="en-GB"/>
        </w:rPr>
        <w:t xml:space="preserve"> or </w:t>
      </w:r>
      <w:r w:rsidR="00E1449F" w:rsidRPr="00FA6323">
        <w:rPr>
          <w:lang w:val="en-GB"/>
        </w:rPr>
        <w:t xml:space="preserve">merely </w:t>
      </w:r>
      <w:r w:rsidR="008B455F" w:rsidRPr="00FA6323">
        <w:rPr>
          <w:lang w:val="en-GB"/>
        </w:rPr>
        <w:t xml:space="preserve">to receive </w:t>
      </w:r>
      <w:r w:rsidR="005872E1" w:rsidRPr="00FA6323">
        <w:rPr>
          <w:lang w:val="en-GB"/>
        </w:rPr>
        <w:t>the offered</w:t>
      </w:r>
      <w:r w:rsidR="00E1449F" w:rsidRPr="00FA6323">
        <w:rPr>
          <w:lang w:val="en-GB"/>
        </w:rPr>
        <w:t xml:space="preserve"> </w:t>
      </w:r>
      <w:r w:rsidR="005872E1" w:rsidRPr="00FA6323">
        <w:rPr>
          <w:lang w:val="en-GB"/>
        </w:rPr>
        <w:t>remuneration</w:t>
      </w:r>
      <w:r w:rsidR="00494AEA" w:rsidRPr="00FA6323">
        <w:rPr>
          <w:lang w:val="en-GB"/>
        </w:rPr>
        <w:t xml:space="preserve">. </w:t>
      </w:r>
    </w:p>
    <w:p w14:paraId="032463B8" w14:textId="59EB553E" w:rsidR="00164E96" w:rsidRDefault="0072266D" w:rsidP="00393373">
      <w:pPr>
        <w:autoSpaceDE w:val="0"/>
        <w:autoSpaceDN w:val="0"/>
        <w:adjustRightInd w:val="0"/>
        <w:spacing w:line="480" w:lineRule="auto"/>
        <w:ind w:firstLine="709"/>
        <w:rPr>
          <w:lang w:val="en-GB"/>
        </w:rPr>
      </w:pPr>
      <w:r>
        <w:rPr>
          <w:lang w:val="en-GB"/>
        </w:rPr>
        <w:t>In sum</w:t>
      </w:r>
      <w:r w:rsidR="005872E1">
        <w:rPr>
          <w:lang w:val="en-GB"/>
        </w:rPr>
        <w:t>mary</w:t>
      </w:r>
      <w:r>
        <w:rPr>
          <w:lang w:val="en-GB"/>
        </w:rPr>
        <w:t xml:space="preserve">, </w:t>
      </w:r>
      <w:r w:rsidR="005872E1">
        <w:rPr>
          <w:lang w:val="en-GB"/>
        </w:rPr>
        <w:t xml:space="preserve">in our study, </w:t>
      </w:r>
      <w:r>
        <w:rPr>
          <w:lang w:val="en-GB"/>
        </w:rPr>
        <w:t>adolescent</w:t>
      </w:r>
      <w:r w:rsidR="005872E1">
        <w:rPr>
          <w:lang w:val="en-GB"/>
        </w:rPr>
        <w:t>s</w:t>
      </w:r>
      <w:r>
        <w:rPr>
          <w:lang w:val="en-GB"/>
        </w:rPr>
        <w:t xml:space="preserve"> who smoke</w:t>
      </w:r>
      <w:r w:rsidR="005872E1">
        <w:rPr>
          <w:lang w:val="en-GB"/>
        </w:rPr>
        <w:t>d</w:t>
      </w:r>
      <w:r>
        <w:rPr>
          <w:lang w:val="en-GB"/>
        </w:rPr>
        <w:t xml:space="preserve"> engaged to a large extent with </w:t>
      </w:r>
      <w:r w:rsidR="001A2445">
        <w:rPr>
          <w:lang w:val="en-GB"/>
        </w:rPr>
        <w:t>a mobile phone-based smoking cessation</w:t>
      </w:r>
      <w:r>
        <w:rPr>
          <w:lang w:val="en-GB"/>
        </w:rPr>
        <w:t xml:space="preserve"> program</w:t>
      </w:r>
      <w:r w:rsidR="003A05EC">
        <w:rPr>
          <w:lang w:val="en-GB"/>
        </w:rPr>
        <w:t xml:space="preserve">, irrespectively of their </w:t>
      </w:r>
      <w:r w:rsidR="00E1449F">
        <w:rPr>
          <w:lang w:val="en-GB"/>
        </w:rPr>
        <w:t xml:space="preserve">initial </w:t>
      </w:r>
      <w:r w:rsidR="003A05EC">
        <w:rPr>
          <w:lang w:val="en-GB"/>
        </w:rPr>
        <w:t xml:space="preserve">intention to quit smoking. </w:t>
      </w:r>
      <w:r w:rsidR="00FA6323">
        <w:rPr>
          <w:lang w:val="en-GB"/>
        </w:rPr>
        <w:t xml:space="preserve">Irregular </w:t>
      </w:r>
      <w:r w:rsidR="00FA6323" w:rsidRPr="00FA6323">
        <w:rPr>
          <w:lang w:val="en-GB"/>
        </w:rPr>
        <w:t>e</w:t>
      </w:r>
      <w:r w:rsidR="003A05EC" w:rsidRPr="00FA6323">
        <w:rPr>
          <w:lang w:val="en-GB"/>
        </w:rPr>
        <w:t xml:space="preserve">ngagement was in turn clearly associated with better long-term treatment outcomes. Further efforts should be undertaken to </w:t>
      </w:r>
      <w:r w:rsidR="00857817" w:rsidRPr="00FA6323">
        <w:rPr>
          <w:lang w:val="en-GB"/>
        </w:rPr>
        <w:t xml:space="preserve">increase program engagement among </w:t>
      </w:r>
      <w:r w:rsidR="007D3149">
        <w:rPr>
          <w:lang w:val="en-GB"/>
        </w:rPr>
        <w:t>older</w:t>
      </w:r>
      <w:r w:rsidR="007D3149" w:rsidRPr="00FA6323">
        <w:rPr>
          <w:lang w:val="en-GB"/>
        </w:rPr>
        <w:t xml:space="preserve"> </w:t>
      </w:r>
      <w:r w:rsidR="00B967EC" w:rsidRPr="00FA6323">
        <w:rPr>
          <w:lang w:val="en-GB"/>
        </w:rPr>
        <w:t>smokers with an immigra</w:t>
      </w:r>
      <w:r w:rsidR="005872E1" w:rsidRPr="00FA6323">
        <w:rPr>
          <w:lang w:val="en-GB"/>
        </w:rPr>
        <w:t>nt</w:t>
      </w:r>
      <w:r w:rsidR="00B967EC" w:rsidRPr="00FA6323">
        <w:rPr>
          <w:lang w:val="en-GB"/>
        </w:rPr>
        <w:t xml:space="preserve"> background who do not drink excessively.</w:t>
      </w:r>
      <w:r w:rsidR="007E0D09" w:rsidRPr="00FA6323">
        <w:rPr>
          <w:lang w:val="en-GB"/>
        </w:rPr>
        <w:t xml:space="preserve"> In addition, future studies should </w:t>
      </w:r>
      <w:r w:rsidR="00164E96" w:rsidRPr="00FA6323">
        <w:rPr>
          <w:lang w:val="en-GB"/>
        </w:rPr>
        <w:t xml:space="preserve">not only </w:t>
      </w:r>
      <w:r w:rsidR="007E0D09" w:rsidRPr="00FA6323">
        <w:rPr>
          <w:lang w:val="en-GB"/>
        </w:rPr>
        <w:t>examine</w:t>
      </w:r>
      <w:r w:rsidR="00164E96" w:rsidRPr="00FA6323">
        <w:rPr>
          <w:lang w:val="en-GB"/>
        </w:rPr>
        <w:t xml:space="preserve"> </w:t>
      </w:r>
      <w:r w:rsidR="005872E1" w:rsidRPr="00FA6323">
        <w:rPr>
          <w:lang w:val="en-GB"/>
        </w:rPr>
        <w:t xml:space="preserve">the </w:t>
      </w:r>
      <w:r w:rsidR="00164E96" w:rsidRPr="00FA6323">
        <w:rPr>
          <w:lang w:val="en-GB"/>
        </w:rPr>
        <w:t>use of specific program components</w:t>
      </w:r>
      <w:r w:rsidR="00E1449F" w:rsidRPr="00FA6323">
        <w:rPr>
          <w:lang w:val="en-GB"/>
        </w:rPr>
        <w:t>,</w:t>
      </w:r>
      <w:r w:rsidR="00164E96" w:rsidRPr="00FA6323">
        <w:rPr>
          <w:lang w:val="en-GB"/>
        </w:rPr>
        <w:t xml:space="preserve"> but also </w:t>
      </w:r>
      <w:r w:rsidR="005872E1" w:rsidRPr="00FA6323">
        <w:rPr>
          <w:lang w:val="en-GB"/>
        </w:rPr>
        <w:t xml:space="preserve">users’ </w:t>
      </w:r>
      <w:r w:rsidR="00164E96" w:rsidRPr="00FA6323">
        <w:rPr>
          <w:lang w:val="en-GB"/>
        </w:rPr>
        <w:t xml:space="preserve">engagement trajectories to better understand </w:t>
      </w:r>
      <w:r w:rsidR="005872E1" w:rsidRPr="00FA6323">
        <w:rPr>
          <w:lang w:val="en-GB"/>
        </w:rPr>
        <w:t xml:space="preserve">the </w:t>
      </w:r>
      <w:r w:rsidR="00164E96" w:rsidRPr="00FA6323">
        <w:rPr>
          <w:lang w:val="en-GB"/>
        </w:rPr>
        <w:t>mechanism</w:t>
      </w:r>
      <w:r w:rsidR="005872E1" w:rsidRPr="00FA6323">
        <w:rPr>
          <w:lang w:val="en-GB"/>
        </w:rPr>
        <w:t xml:space="preserve">s behind </w:t>
      </w:r>
      <w:r w:rsidR="00164E96" w:rsidRPr="00FA6323">
        <w:rPr>
          <w:lang w:val="en-GB"/>
        </w:rPr>
        <w:t>behaviour</w:t>
      </w:r>
      <w:r w:rsidR="00E1449F" w:rsidRPr="00FA6323">
        <w:rPr>
          <w:lang w:val="en-GB"/>
        </w:rPr>
        <w:t>al</w:t>
      </w:r>
      <w:r w:rsidR="00164E96" w:rsidRPr="00FA6323">
        <w:rPr>
          <w:lang w:val="en-GB"/>
        </w:rPr>
        <w:t xml:space="preserve"> change.</w:t>
      </w:r>
      <w:r w:rsidR="00164E96">
        <w:rPr>
          <w:lang w:val="en-GB"/>
        </w:rPr>
        <w:t xml:space="preserve">  </w:t>
      </w:r>
    </w:p>
    <w:p w14:paraId="039676FE" w14:textId="77777777" w:rsidR="00B34FB8" w:rsidRDefault="00B34FB8" w:rsidP="00B34FB8">
      <w:pPr>
        <w:autoSpaceDE w:val="0"/>
        <w:autoSpaceDN w:val="0"/>
        <w:adjustRightInd w:val="0"/>
        <w:spacing w:line="480" w:lineRule="auto"/>
        <w:rPr>
          <w:lang w:val="en-GB"/>
        </w:rPr>
      </w:pPr>
    </w:p>
    <w:p w14:paraId="3E5F9F0D" w14:textId="55AE688F" w:rsidR="00B34FB8" w:rsidRDefault="00B34FB8" w:rsidP="00B34FB8">
      <w:pPr>
        <w:autoSpaceDE w:val="0"/>
        <w:autoSpaceDN w:val="0"/>
        <w:adjustRightInd w:val="0"/>
        <w:spacing w:line="480" w:lineRule="auto"/>
        <w:rPr>
          <w:lang w:val="en-GB"/>
        </w:rPr>
      </w:pPr>
      <w:r>
        <w:rPr>
          <w:lang w:val="en-GB"/>
        </w:rPr>
        <w:t>Acknowledgments</w:t>
      </w:r>
    </w:p>
    <w:p w14:paraId="78C5771E" w14:textId="6DE3107C" w:rsidR="007D2698" w:rsidRPr="007D2698" w:rsidRDefault="007D2698" w:rsidP="007D2698">
      <w:pPr>
        <w:autoSpaceDE w:val="0"/>
        <w:autoSpaceDN w:val="0"/>
        <w:adjustRightInd w:val="0"/>
        <w:spacing w:line="480" w:lineRule="auto"/>
        <w:rPr>
          <w:b/>
          <w:lang w:val="en-GB"/>
        </w:rPr>
      </w:pPr>
      <w:r w:rsidRPr="007D2698">
        <w:rPr>
          <w:rStyle w:val="longtext"/>
          <w:color w:val="000000"/>
          <w:lang w:val="en-GB"/>
        </w:rPr>
        <w:lastRenderedPageBreak/>
        <w:t xml:space="preserve">Funding for this study is provided by the Swiss Tobacco Prevention Fund (No. 13.006402). We would like to thank </w:t>
      </w:r>
      <w:proofErr w:type="spellStart"/>
      <w:r w:rsidRPr="007D2698">
        <w:rPr>
          <w:rStyle w:val="longtext"/>
          <w:color w:val="000000"/>
          <w:lang w:val="en-GB"/>
        </w:rPr>
        <w:t>Vigeli</w:t>
      </w:r>
      <w:proofErr w:type="spellEnd"/>
      <w:r w:rsidRPr="007D2698">
        <w:rPr>
          <w:rStyle w:val="longtext"/>
          <w:color w:val="000000"/>
          <w:lang w:val="en-GB"/>
        </w:rPr>
        <w:t xml:space="preserve"> </w:t>
      </w:r>
      <w:proofErr w:type="spellStart"/>
      <w:r w:rsidRPr="007D2698">
        <w:rPr>
          <w:rStyle w:val="longtext"/>
          <w:color w:val="000000"/>
          <w:lang w:val="en-GB"/>
        </w:rPr>
        <w:t>Venzin</w:t>
      </w:r>
      <w:proofErr w:type="spellEnd"/>
      <w:r w:rsidRPr="007D2698">
        <w:rPr>
          <w:rStyle w:val="longtext"/>
          <w:color w:val="000000"/>
          <w:lang w:val="en-GB"/>
        </w:rPr>
        <w:t xml:space="preserve"> from the Can</w:t>
      </w:r>
      <w:r w:rsidRPr="007D2698">
        <w:rPr>
          <w:lang w:val="en-GB" w:eastAsia="de-CH"/>
        </w:rPr>
        <w:t xml:space="preserve">tonal Office for Secondary Education in Zurich </w:t>
      </w:r>
      <w:r w:rsidRPr="007D2698">
        <w:rPr>
          <w:rStyle w:val="longtext"/>
          <w:color w:val="000000"/>
          <w:lang w:val="en-GB"/>
        </w:rPr>
        <w:t xml:space="preserve">for his role in contacting and recruiting vocational schools. </w:t>
      </w:r>
    </w:p>
    <w:p w14:paraId="75659913" w14:textId="77777777" w:rsidR="00B34FB8" w:rsidRDefault="00B34FB8" w:rsidP="00B34FB8">
      <w:pPr>
        <w:autoSpaceDE w:val="0"/>
        <w:autoSpaceDN w:val="0"/>
        <w:adjustRightInd w:val="0"/>
        <w:spacing w:line="480" w:lineRule="auto"/>
        <w:rPr>
          <w:lang w:val="en-GB"/>
        </w:rPr>
      </w:pPr>
    </w:p>
    <w:p w14:paraId="26123AB3" w14:textId="77777777" w:rsidR="00164E96" w:rsidRDefault="00164E96" w:rsidP="00F9002C">
      <w:pPr>
        <w:autoSpaceDE w:val="0"/>
        <w:autoSpaceDN w:val="0"/>
        <w:adjustRightInd w:val="0"/>
        <w:spacing w:line="480" w:lineRule="auto"/>
        <w:rPr>
          <w:lang w:val="en-GB"/>
        </w:rPr>
      </w:pPr>
    </w:p>
    <w:p w14:paraId="2462A8FE" w14:textId="77777777" w:rsidR="007E0D09" w:rsidRDefault="007E0D09" w:rsidP="00F9002C">
      <w:pPr>
        <w:autoSpaceDE w:val="0"/>
        <w:autoSpaceDN w:val="0"/>
        <w:adjustRightInd w:val="0"/>
        <w:spacing w:line="480" w:lineRule="auto"/>
        <w:rPr>
          <w:lang w:val="en-GB"/>
        </w:rPr>
      </w:pPr>
    </w:p>
    <w:p w14:paraId="77F9D915" w14:textId="77777777" w:rsidR="00A61B47" w:rsidRDefault="00A61B47" w:rsidP="00CF6AB0">
      <w:pPr>
        <w:spacing w:line="480" w:lineRule="auto"/>
        <w:rPr>
          <w:lang w:val="en-GB"/>
        </w:rPr>
      </w:pPr>
      <w:r>
        <w:rPr>
          <w:lang w:val="en-GB"/>
        </w:rPr>
        <w:br w:type="page"/>
      </w:r>
    </w:p>
    <w:p w14:paraId="4709FF67" w14:textId="77777777" w:rsidR="008A62F0" w:rsidRDefault="008A62F0" w:rsidP="00610AEF">
      <w:pPr>
        <w:spacing w:line="480" w:lineRule="auto"/>
        <w:jc w:val="center"/>
        <w:rPr>
          <w:lang w:val="en-GB"/>
        </w:rPr>
      </w:pPr>
      <w:r w:rsidRPr="002840A4">
        <w:rPr>
          <w:lang w:val="en-GB"/>
        </w:rPr>
        <w:lastRenderedPageBreak/>
        <w:t>References</w:t>
      </w:r>
    </w:p>
    <w:p w14:paraId="6597E729" w14:textId="42F550C4" w:rsidR="00E91A9D" w:rsidRPr="00E91A9D" w:rsidRDefault="00E91A9D" w:rsidP="00E91A9D">
      <w:pPr>
        <w:pStyle w:val="Literaturverzeichnis"/>
        <w:rPr>
          <w:lang w:val="en-GB"/>
        </w:rPr>
      </w:pPr>
      <w:r w:rsidRPr="00E91A9D">
        <w:rPr>
          <w:lang w:val="en-GB"/>
        </w:rPr>
        <w:t xml:space="preserve">1. </w:t>
      </w:r>
      <w:r w:rsidRPr="00E91A9D">
        <w:rPr>
          <w:lang w:val="en-GB"/>
        </w:rPr>
        <w:tab/>
      </w:r>
      <w:proofErr w:type="spellStart"/>
      <w:r w:rsidRPr="00E91A9D">
        <w:rPr>
          <w:lang w:val="en-GB"/>
        </w:rPr>
        <w:t>Feigin</w:t>
      </w:r>
      <w:proofErr w:type="spellEnd"/>
      <w:r w:rsidRPr="00E91A9D">
        <w:rPr>
          <w:lang w:val="en-GB"/>
        </w:rPr>
        <w:t xml:space="preserve"> VL, Roth GA, </w:t>
      </w:r>
      <w:proofErr w:type="spellStart"/>
      <w:r w:rsidRPr="00E91A9D">
        <w:rPr>
          <w:lang w:val="en-GB"/>
        </w:rPr>
        <w:t>Naghavi</w:t>
      </w:r>
      <w:proofErr w:type="spellEnd"/>
      <w:r w:rsidRPr="00E91A9D">
        <w:rPr>
          <w:lang w:val="en-GB"/>
        </w:rPr>
        <w:t xml:space="preserve"> M, </w:t>
      </w:r>
      <w:proofErr w:type="spellStart"/>
      <w:r w:rsidRPr="00E91A9D">
        <w:rPr>
          <w:lang w:val="en-GB"/>
        </w:rPr>
        <w:t>Parmar</w:t>
      </w:r>
      <w:proofErr w:type="spellEnd"/>
      <w:r w:rsidRPr="00E91A9D">
        <w:rPr>
          <w:lang w:val="en-GB"/>
        </w:rPr>
        <w:t xml:space="preserve"> P, </w:t>
      </w:r>
      <w:proofErr w:type="spellStart"/>
      <w:r w:rsidRPr="00E91A9D">
        <w:rPr>
          <w:lang w:val="en-GB"/>
        </w:rPr>
        <w:t>Krishnamurthi</w:t>
      </w:r>
      <w:proofErr w:type="spellEnd"/>
      <w:r w:rsidRPr="00E91A9D">
        <w:rPr>
          <w:lang w:val="en-GB"/>
        </w:rPr>
        <w:t xml:space="preserve"> R, </w:t>
      </w:r>
      <w:proofErr w:type="spellStart"/>
      <w:r w:rsidRPr="00E91A9D">
        <w:rPr>
          <w:lang w:val="en-GB"/>
        </w:rPr>
        <w:t>Chugh</w:t>
      </w:r>
      <w:proofErr w:type="spellEnd"/>
      <w:r w:rsidRPr="00E91A9D">
        <w:rPr>
          <w:lang w:val="en-GB"/>
        </w:rPr>
        <w:t xml:space="preserve"> S, et al. Global burden of stroke and risk factors in 188 countries, during 1990–2013: a systematic analysis for the Global Burden of Disease Study 2013. Lancet </w:t>
      </w:r>
      <w:proofErr w:type="spellStart"/>
      <w:r w:rsidRPr="00E91A9D">
        <w:rPr>
          <w:lang w:val="en-GB"/>
        </w:rPr>
        <w:t>Neurol</w:t>
      </w:r>
      <w:proofErr w:type="spellEnd"/>
      <w:r w:rsidRPr="00E91A9D">
        <w:rPr>
          <w:lang w:val="en-GB"/>
        </w:rPr>
        <w:t xml:space="preserve"> 2016 Aug</w:t>
      </w:r>
      <w:proofErr w:type="gramStart"/>
      <w:r w:rsidRPr="00E91A9D">
        <w:rPr>
          <w:lang w:val="en-GB"/>
        </w:rPr>
        <w:t>;15</w:t>
      </w:r>
      <w:proofErr w:type="gramEnd"/>
      <w:r w:rsidRPr="00E91A9D">
        <w:rPr>
          <w:lang w:val="en-GB"/>
        </w:rPr>
        <w:t>(9):913–924. PMID: 27291521</w:t>
      </w:r>
    </w:p>
    <w:p w14:paraId="0F8BFA72" w14:textId="77777777" w:rsidR="00E91A9D" w:rsidRPr="00E91A9D" w:rsidRDefault="00E91A9D" w:rsidP="00E91A9D">
      <w:pPr>
        <w:pStyle w:val="Literaturverzeichnis"/>
        <w:rPr>
          <w:lang w:val="en-GB"/>
        </w:rPr>
      </w:pPr>
      <w:r w:rsidRPr="00E91A9D">
        <w:rPr>
          <w:lang w:val="en-GB"/>
        </w:rPr>
        <w:t xml:space="preserve">2. </w:t>
      </w:r>
      <w:r w:rsidRPr="00E91A9D">
        <w:rPr>
          <w:lang w:val="en-GB"/>
        </w:rPr>
        <w:tab/>
        <w:t xml:space="preserve">Kraus L, </w:t>
      </w:r>
      <w:proofErr w:type="spellStart"/>
      <w:r w:rsidRPr="00E91A9D">
        <w:rPr>
          <w:lang w:val="en-GB"/>
        </w:rPr>
        <w:t>Guttormsson</w:t>
      </w:r>
      <w:proofErr w:type="spellEnd"/>
      <w:r w:rsidRPr="00E91A9D">
        <w:rPr>
          <w:lang w:val="en-GB"/>
        </w:rPr>
        <w:t xml:space="preserve"> U, </w:t>
      </w:r>
      <w:proofErr w:type="spellStart"/>
      <w:r w:rsidRPr="00E91A9D">
        <w:rPr>
          <w:lang w:val="en-GB"/>
        </w:rPr>
        <w:t>Leifman</w:t>
      </w:r>
      <w:proofErr w:type="spellEnd"/>
      <w:r w:rsidRPr="00E91A9D">
        <w:rPr>
          <w:lang w:val="en-GB"/>
        </w:rPr>
        <w:t xml:space="preserve"> H, </w:t>
      </w:r>
      <w:proofErr w:type="spellStart"/>
      <w:r w:rsidRPr="00E91A9D">
        <w:rPr>
          <w:lang w:val="en-GB"/>
        </w:rPr>
        <w:t>Arpa</w:t>
      </w:r>
      <w:proofErr w:type="spellEnd"/>
      <w:r w:rsidRPr="00E91A9D">
        <w:rPr>
          <w:lang w:val="en-GB"/>
        </w:rPr>
        <w:t xml:space="preserve"> S, </w:t>
      </w:r>
      <w:proofErr w:type="spellStart"/>
      <w:r w:rsidRPr="00E91A9D">
        <w:rPr>
          <w:lang w:val="en-GB"/>
        </w:rPr>
        <w:t>Molinaro</w:t>
      </w:r>
      <w:proofErr w:type="spellEnd"/>
      <w:r w:rsidRPr="00E91A9D">
        <w:rPr>
          <w:lang w:val="en-GB"/>
        </w:rPr>
        <w:t xml:space="preserve"> S. ESPAD Report 2015: Results from the European School Survey Project on Alcohol and Other Drugs. Luxembourg: European Monitoring Centre for Drugs and Drug Addiction; 2016. </w:t>
      </w:r>
    </w:p>
    <w:p w14:paraId="0813A622" w14:textId="77777777" w:rsidR="00E91A9D" w:rsidRPr="006766E5" w:rsidRDefault="00E91A9D" w:rsidP="00E91A9D">
      <w:pPr>
        <w:pStyle w:val="Literaturverzeichnis"/>
        <w:rPr>
          <w:lang w:val="en-GB"/>
        </w:rPr>
      </w:pPr>
      <w:r w:rsidRPr="00E91A9D">
        <w:rPr>
          <w:lang w:val="en-GB"/>
        </w:rPr>
        <w:t xml:space="preserve">3. </w:t>
      </w:r>
      <w:r w:rsidRPr="00E91A9D">
        <w:rPr>
          <w:lang w:val="en-GB"/>
        </w:rPr>
        <w:tab/>
      </w:r>
      <w:proofErr w:type="spellStart"/>
      <w:r w:rsidRPr="00E91A9D">
        <w:rPr>
          <w:lang w:val="en-GB"/>
        </w:rPr>
        <w:t>Marsch</w:t>
      </w:r>
      <w:proofErr w:type="spellEnd"/>
      <w:r w:rsidRPr="00E91A9D">
        <w:rPr>
          <w:lang w:val="en-GB"/>
        </w:rPr>
        <w:t xml:space="preserve"> LA, </w:t>
      </w:r>
      <w:proofErr w:type="spellStart"/>
      <w:r w:rsidRPr="00E91A9D">
        <w:rPr>
          <w:lang w:val="en-GB"/>
        </w:rPr>
        <w:t>Borodovsky</w:t>
      </w:r>
      <w:proofErr w:type="spellEnd"/>
      <w:r w:rsidRPr="00E91A9D">
        <w:rPr>
          <w:lang w:val="en-GB"/>
        </w:rPr>
        <w:t xml:space="preserve"> JT. Technology-based Interventions for Preventing and Treating Substance Use </w:t>
      </w:r>
      <w:proofErr w:type="gramStart"/>
      <w:r w:rsidRPr="00E91A9D">
        <w:rPr>
          <w:lang w:val="en-GB"/>
        </w:rPr>
        <w:t>Among</w:t>
      </w:r>
      <w:proofErr w:type="gramEnd"/>
      <w:r w:rsidRPr="00E91A9D">
        <w:rPr>
          <w:lang w:val="en-GB"/>
        </w:rPr>
        <w:t xml:space="preserve"> Youth. </w:t>
      </w:r>
      <w:r w:rsidRPr="006766E5">
        <w:rPr>
          <w:lang w:val="en-GB"/>
        </w:rPr>
        <w:t xml:space="preserve">Child </w:t>
      </w:r>
      <w:proofErr w:type="spellStart"/>
      <w:r w:rsidRPr="006766E5">
        <w:rPr>
          <w:lang w:val="en-GB"/>
        </w:rPr>
        <w:t>Adolesc</w:t>
      </w:r>
      <w:proofErr w:type="spellEnd"/>
      <w:r w:rsidRPr="006766E5">
        <w:rPr>
          <w:lang w:val="en-GB"/>
        </w:rPr>
        <w:t xml:space="preserve"> </w:t>
      </w:r>
      <w:proofErr w:type="spellStart"/>
      <w:r w:rsidRPr="006766E5">
        <w:rPr>
          <w:lang w:val="en-GB"/>
        </w:rPr>
        <w:t>Psychiatr</w:t>
      </w:r>
      <w:proofErr w:type="spellEnd"/>
      <w:r w:rsidRPr="006766E5">
        <w:rPr>
          <w:lang w:val="en-GB"/>
        </w:rPr>
        <w:t xml:space="preserve"> </w:t>
      </w:r>
      <w:proofErr w:type="spellStart"/>
      <w:r w:rsidRPr="006766E5">
        <w:rPr>
          <w:lang w:val="en-GB"/>
        </w:rPr>
        <w:t>Clin</w:t>
      </w:r>
      <w:proofErr w:type="spellEnd"/>
      <w:r w:rsidRPr="006766E5">
        <w:rPr>
          <w:lang w:val="en-GB"/>
        </w:rPr>
        <w:t xml:space="preserve"> N Am 2016 Oct</w:t>
      </w:r>
      <w:proofErr w:type="gramStart"/>
      <w:r w:rsidRPr="006766E5">
        <w:rPr>
          <w:lang w:val="en-GB"/>
        </w:rPr>
        <w:t>;25</w:t>
      </w:r>
      <w:proofErr w:type="gramEnd"/>
      <w:r w:rsidRPr="006766E5">
        <w:rPr>
          <w:lang w:val="en-GB"/>
        </w:rPr>
        <w:t>(4):755–768. PMID: 27613350</w:t>
      </w:r>
    </w:p>
    <w:p w14:paraId="74D91B19" w14:textId="77777777" w:rsidR="00E91A9D" w:rsidRPr="00E91A9D" w:rsidRDefault="00E91A9D" w:rsidP="00E91A9D">
      <w:pPr>
        <w:pStyle w:val="Literaturverzeichnis"/>
        <w:rPr>
          <w:lang w:val="en-GB"/>
        </w:rPr>
      </w:pPr>
      <w:r w:rsidRPr="00E91A9D">
        <w:rPr>
          <w:lang w:val="en-GB"/>
        </w:rPr>
        <w:t xml:space="preserve">4. </w:t>
      </w:r>
      <w:r w:rsidRPr="00E91A9D">
        <w:rPr>
          <w:lang w:val="en-GB"/>
        </w:rPr>
        <w:tab/>
        <w:t xml:space="preserve">Scott-Sheldon LAJ, Terry DL, Carey KB, </w:t>
      </w:r>
      <w:proofErr w:type="spellStart"/>
      <w:r w:rsidRPr="00E91A9D">
        <w:rPr>
          <w:lang w:val="en-GB"/>
        </w:rPr>
        <w:t>Garey</w:t>
      </w:r>
      <w:proofErr w:type="spellEnd"/>
      <w:r w:rsidRPr="00E91A9D">
        <w:rPr>
          <w:lang w:val="en-GB"/>
        </w:rPr>
        <w:t xml:space="preserve"> L, Carey MP. Efficacy of Expectancy Challenge Interventions to Reduce College Student Drinking: A Meta-Analytic Review. </w:t>
      </w:r>
      <w:proofErr w:type="spellStart"/>
      <w:r w:rsidRPr="00E91A9D">
        <w:rPr>
          <w:lang w:val="en-GB"/>
        </w:rPr>
        <w:t>Psychol</w:t>
      </w:r>
      <w:proofErr w:type="spellEnd"/>
      <w:r w:rsidRPr="00E91A9D">
        <w:rPr>
          <w:lang w:val="en-GB"/>
        </w:rPr>
        <w:t xml:space="preserve"> Addict </w:t>
      </w:r>
      <w:proofErr w:type="spellStart"/>
      <w:r w:rsidRPr="00E91A9D">
        <w:rPr>
          <w:lang w:val="en-GB"/>
        </w:rPr>
        <w:t>Behav</w:t>
      </w:r>
      <w:proofErr w:type="spellEnd"/>
      <w:r w:rsidRPr="00E91A9D">
        <w:rPr>
          <w:lang w:val="en-GB"/>
        </w:rPr>
        <w:t xml:space="preserve"> J </w:t>
      </w:r>
      <w:proofErr w:type="spellStart"/>
      <w:r w:rsidRPr="00E91A9D">
        <w:rPr>
          <w:lang w:val="en-GB"/>
        </w:rPr>
        <w:t>Soc</w:t>
      </w:r>
      <w:proofErr w:type="spellEnd"/>
      <w:r w:rsidRPr="00E91A9D">
        <w:rPr>
          <w:lang w:val="en-GB"/>
        </w:rPr>
        <w:t xml:space="preserve"> </w:t>
      </w:r>
      <w:proofErr w:type="spellStart"/>
      <w:r w:rsidRPr="00E91A9D">
        <w:rPr>
          <w:lang w:val="en-GB"/>
        </w:rPr>
        <w:t>Psychol</w:t>
      </w:r>
      <w:proofErr w:type="spellEnd"/>
      <w:r w:rsidRPr="00E91A9D">
        <w:rPr>
          <w:lang w:val="en-GB"/>
        </w:rPr>
        <w:t xml:space="preserve"> Addict </w:t>
      </w:r>
      <w:proofErr w:type="spellStart"/>
      <w:r w:rsidRPr="00E91A9D">
        <w:rPr>
          <w:lang w:val="en-GB"/>
        </w:rPr>
        <w:t>Behav</w:t>
      </w:r>
      <w:proofErr w:type="spellEnd"/>
      <w:r w:rsidRPr="00E91A9D">
        <w:rPr>
          <w:lang w:val="en-GB"/>
        </w:rPr>
        <w:t xml:space="preserve"> 2012 Sep</w:t>
      </w:r>
      <w:proofErr w:type="gramStart"/>
      <w:r w:rsidRPr="00E91A9D">
        <w:rPr>
          <w:lang w:val="en-GB"/>
        </w:rPr>
        <w:t>;26</w:t>
      </w:r>
      <w:proofErr w:type="gramEnd"/>
      <w:r w:rsidRPr="00E91A9D">
        <w:rPr>
          <w:lang w:val="en-GB"/>
        </w:rPr>
        <w:t>(3):393–405. PMID: 22428862</w:t>
      </w:r>
    </w:p>
    <w:p w14:paraId="47F1897D" w14:textId="77777777" w:rsidR="00E91A9D" w:rsidRPr="00E91A9D" w:rsidRDefault="00E91A9D" w:rsidP="00E91A9D">
      <w:pPr>
        <w:pStyle w:val="Literaturverzeichnis"/>
        <w:rPr>
          <w:lang w:val="en-GB"/>
        </w:rPr>
      </w:pPr>
      <w:r w:rsidRPr="00E91A9D">
        <w:rPr>
          <w:lang w:val="en-GB"/>
        </w:rPr>
        <w:t xml:space="preserve">5. </w:t>
      </w:r>
      <w:r w:rsidRPr="00E91A9D">
        <w:rPr>
          <w:lang w:val="en-GB"/>
        </w:rPr>
        <w:tab/>
        <w:t xml:space="preserve">Head KJ, </w:t>
      </w:r>
      <w:proofErr w:type="spellStart"/>
      <w:r w:rsidRPr="00E91A9D">
        <w:rPr>
          <w:lang w:val="en-GB"/>
        </w:rPr>
        <w:t>Noar</w:t>
      </w:r>
      <w:proofErr w:type="spellEnd"/>
      <w:r w:rsidRPr="00E91A9D">
        <w:rPr>
          <w:lang w:val="en-GB"/>
        </w:rPr>
        <w:t xml:space="preserve"> SM, </w:t>
      </w:r>
      <w:proofErr w:type="spellStart"/>
      <w:r w:rsidRPr="00E91A9D">
        <w:rPr>
          <w:lang w:val="en-GB"/>
        </w:rPr>
        <w:t>Iannarino</w:t>
      </w:r>
      <w:proofErr w:type="spellEnd"/>
      <w:r w:rsidRPr="00E91A9D">
        <w:rPr>
          <w:lang w:val="en-GB"/>
        </w:rPr>
        <w:t xml:space="preserve"> NT, Grant Harrington N. Efficacy of text messaging-based interventions for health promotion: A meta-analysis. </w:t>
      </w:r>
      <w:proofErr w:type="spellStart"/>
      <w:r w:rsidRPr="00E91A9D">
        <w:rPr>
          <w:lang w:val="en-GB"/>
        </w:rPr>
        <w:t>Soc</w:t>
      </w:r>
      <w:proofErr w:type="spellEnd"/>
      <w:r w:rsidRPr="00E91A9D">
        <w:rPr>
          <w:lang w:val="en-GB"/>
        </w:rPr>
        <w:t xml:space="preserve"> </w:t>
      </w:r>
      <w:proofErr w:type="spellStart"/>
      <w:r w:rsidRPr="00E91A9D">
        <w:rPr>
          <w:lang w:val="en-GB"/>
        </w:rPr>
        <w:t>Sci</w:t>
      </w:r>
      <w:proofErr w:type="spellEnd"/>
      <w:r w:rsidRPr="00E91A9D">
        <w:rPr>
          <w:lang w:val="en-GB"/>
        </w:rPr>
        <w:t xml:space="preserve"> Med 2013 Nov</w:t>
      </w:r>
      <w:proofErr w:type="gramStart"/>
      <w:r w:rsidRPr="00E91A9D">
        <w:rPr>
          <w:lang w:val="en-GB"/>
        </w:rPr>
        <w:t>;97:41</w:t>
      </w:r>
      <w:proofErr w:type="gramEnd"/>
      <w:r w:rsidRPr="00E91A9D">
        <w:rPr>
          <w:lang w:val="en-GB"/>
        </w:rPr>
        <w:t>–48. PMID: 24161087</w:t>
      </w:r>
    </w:p>
    <w:p w14:paraId="1834608C" w14:textId="77777777" w:rsidR="00E91A9D" w:rsidRPr="00E91A9D" w:rsidRDefault="00E91A9D" w:rsidP="00E91A9D">
      <w:pPr>
        <w:pStyle w:val="Literaturverzeichnis"/>
        <w:rPr>
          <w:lang w:val="en-GB"/>
        </w:rPr>
      </w:pPr>
      <w:r w:rsidRPr="00E91A9D">
        <w:rPr>
          <w:lang w:val="en-GB"/>
        </w:rPr>
        <w:t xml:space="preserve">6. </w:t>
      </w:r>
      <w:r w:rsidRPr="00E91A9D">
        <w:rPr>
          <w:lang w:val="en-GB"/>
        </w:rPr>
        <w:tab/>
        <w:t xml:space="preserve">Mason M, Ola B, </w:t>
      </w:r>
      <w:proofErr w:type="spellStart"/>
      <w:r w:rsidRPr="00E91A9D">
        <w:rPr>
          <w:lang w:val="en-GB"/>
        </w:rPr>
        <w:t>Zaharakis</w:t>
      </w:r>
      <w:proofErr w:type="spellEnd"/>
      <w:r w:rsidRPr="00E91A9D">
        <w:rPr>
          <w:lang w:val="en-GB"/>
        </w:rPr>
        <w:t xml:space="preserve"> N, Zhang J. Text Messaging Interventions for Adolescent and Young Adult Substance Use: a Meta-Analysis. </w:t>
      </w:r>
      <w:proofErr w:type="spellStart"/>
      <w:r w:rsidRPr="00E91A9D">
        <w:rPr>
          <w:lang w:val="en-GB"/>
        </w:rPr>
        <w:t>Prev</w:t>
      </w:r>
      <w:proofErr w:type="spellEnd"/>
      <w:r w:rsidRPr="00E91A9D">
        <w:rPr>
          <w:lang w:val="en-GB"/>
        </w:rPr>
        <w:t xml:space="preserve"> </w:t>
      </w:r>
      <w:proofErr w:type="spellStart"/>
      <w:r w:rsidRPr="00E91A9D">
        <w:rPr>
          <w:lang w:val="en-GB"/>
        </w:rPr>
        <w:t>Sci</w:t>
      </w:r>
      <w:proofErr w:type="spellEnd"/>
      <w:r w:rsidRPr="00E91A9D">
        <w:rPr>
          <w:lang w:val="en-GB"/>
        </w:rPr>
        <w:t xml:space="preserve"> 2015 Feb 1</w:t>
      </w:r>
      <w:proofErr w:type="gramStart"/>
      <w:r w:rsidRPr="00E91A9D">
        <w:rPr>
          <w:lang w:val="en-GB"/>
        </w:rPr>
        <w:t>;16</w:t>
      </w:r>
      <w:proofErr w:type="gramEnd"/>
      <w:r w:rsidRPr="00E91A9D">
        <w:rPr>
          <w:lang w:val="en-GB"/>
        </w:rPr>
        <w:t>(2):181–188. PMID: 24930386</w:t>
      </w:r>
    </w:p>
    <w:p w14:paraId="2C68900F" w14:textId="77777777" w:rsidR="00E91A9D" w:rsidRPr="006766E5" w:rsidRDefault="00E91A9D" w:rsidP="00E91A9D">
      <w:pPr>
        <w:pStyle w:val="Literaturverzeichnis"/>
        <w:rPr>
          <w:lang w:val="en-GB"/>
        </w:rPr>
      </w:pPr>
      <w:r w:rsidRPr="00E91A9D">
        <w:rPr>
          <w:lang w:val="en-GB"/>
        </w:rPr>
        <w:t xml:space="preserve">7. </w:t>
      </w:r>
      <w:r w:rsidRPr="00E91A9D">
        <w:rPr>
          <w:lang w:val="en-GB"/>
        </w:rPr>
        <w:tab/>
      </w:r>
      <w:proofErr w:type="spellStart"/>
      <w:r w:rsidRPr="00E91A9D">
        <w:rPr>
          <w:lang w:val="en-GB"/>
        </w:rPr>
        <w:t>Spohr</w:t>
      </w:r>
      <w:proofErr w:type="spellEnd"/>
      <w:r w:rsidRPr="00E91A9D">
        <w:rPr>
          <w:lang w:val="en-GB"/>
        </w:rPr>
        <w:t xml:space="preserve"> SA, </w:t>
      </w:r>
      <w:proofErr w:type="spellStart"/>
      <w:r w:rsidRPr="00E91A9D">
        <w:rPr>
          <w:lang w:val="en-GB"/>
        </w:rPr>
        <w:t>Nandy</w:t>
      </w:r>
      <w:proofErr w:type="spellEnd"/>
      <w:r w:rsidRPr="00E91A9D">
        <w:rPr>
          <w:lang w:val="en-GB"/>
        </w:rPr>
        <w:t xml:space="preserve"> R, </w:t>
      </w:r>
      <w:proofErr w:type="spellStart"/>
      <w:r w:rsidRPr="00E91A9D">
        <w:rPr>
          <w:lang w:val="en-GB"/>
        </w:rPr>
        <w:t>Gandhiraj</w:t>
      </w:r>
      <w:proofErr w:type="spellEnd"/>
      <w:r w:rsidRPr="00E91A9D">
        <w:rPr>
          <w:lang w:val="en-GB"/>
        </w:rPr>
        <w:t xml:space="preserve"> D, </w:t>
      </w:r>
      <w:proofErr w:type="spellStart"/>
      <w:r w:rsidRPr="00E91A9D">
        <w:rPr>
          <w:lang w:val="en-GB"/>
        </w:rPr>
        <w:t>Vemulapalli</w:t>
      </w:r>
      <w:proofErr w:type="spellEnd"/>
      <w:r w:rsidRPr="00E91A9D">
        <w:rPr>
          <w:lang w:val="en-GB"/>
        </w:rPr>
        <w:t xml:space="preserve"> A, Anne S, Walters ST. Efficacy of SMS text message interventions for smoking cessation: A meta-analysis. </w:t>
      </w:r>
      <w:r w:rsidRPr="006766E5">
        <w:rPr>
          <w:lang w:val="en-GB"/>
        </w:rPr>
        <w:t xml:space="preserve">J </w:t>
      </w:r>
      <w:proofErr w:type="spellStart"/>
      <w:r w:rsidRPr="006766E5">
        <w:rPr>
          <w:lang w:val="en-GB"/>
        </w:rPr>
        <w:t>Subst</w:t>
      </w:r>
      <w:proofErr w:type="spellEnd"/>
      <w:r w:rsidRPr="006766E5">
        <w:rPr>
          <w:lang w:val="en-GB"/>
        </w:rPr>
        <w:t xml:space="preserve"> Abuse Treat 2015; PMID: 25720333</w:t>
      </w:r>
    </w:p>
    <w:p w14:paraId="426B67F1" w14:textId="77777777" w:rsidR="00E91A9D" w:rsidRPr="00E91A9D" w:rsidRDefault="00E91A9D" w:rsidP="00E91A9D">
      <w:pPr>
        <w:pStyle w:val="Literaturverzeichnis"/>
        <w:rPr>
          <w:lang w:val="en-GB"/>
        </w:rPr>
      </w:pPr>
      <w:r w:rsidRPr="00E91A9D">
        <w:rPr>
          <w:lang w:val="en-GB"/>
        </w:rPr>
        <w:t xml:space="preserve">8. </w:t>
      </w:r>
      <w:r w:rsidRPr="00E91A9D">
        <w:rPr>
          <w:lang w:val="en-GB"/>
        </w:rPr>
        <w:tab/>
        <w:t xml:space="preserve">Whittaker R, </w:t>
      </w:r>
      <w:proofErr w:type="spellStart"/>
      <w:r w:rsidRPr="00E91A9D">
        <w:rPr>
          <w:lang w:val="en-GB"/>
        </w:rPr>
        <w:t>McRobbie</w:t>
      </w:r>
      <w:proofErr w:type="spellEnd"/>
      <w:r w:rsidRPr="00E91A9D">
        <w:rPr>
          <w:lang w:val="en-GB"/>
        </w:rPr>
        <w:t xml:space="preserve"> H, Bullen C, Rodgers A, </w:t>
      </w:r>
      <w:proofErr w:type="spellStart"/>
      <w:r w:rsidRPr="00E91A9D">
        <w:rPr>
          <w:lang w:val="en-GB"/>
        </w:rPr>
        <w:t>Gu</w:t>
      </w:r>
      <w:proofErr w:type="spellEnd"/>
      <w:r w:rsidRPr="00E91A9D">
        <w:rPr>
          <w:lang w:val="en-GB"/>
        </w:rPr>
        <w:t xml:space="preserve"> Y. Mobile phone-based interventions for smoking cessation. Cochrane Database </w:t>
      </w:r>
      <w:proofErr w:type="spellStart"/>
      <w:r w:rsidRPr="00E91A9D">
        <w:rPr>
          <w:lang w:val="en-GB"/>
        </w:rPr>
        <w:t>Syst</w:t>
      </w:r>
      <w:proofErr w:type="spellEnd"/>
      <w:r w:rsidRPr="00E91A9D">
        <w:rPr>
          <w:lang w:val="en-GB"/>
        </w:rPr>
        <w:t xml:space="preserve"> Rev John Wiley &amp; Sons, Ltd; 2016. PMID: 27060875</w:t>
      </w:r>
    </w:p>
    <w:p w14:paraId="2D7F4FE2" w14:textId="77777777" w:rsidR="00E91A9D" w:rsidRPr="00E91A9D" w:rsidRDefault="00E91A9D" w:rsidP="00E91A9D">
      <w:pPr>
        <w:pStyle w:val="Literaturverzeichnis"/>
        <w:rPr>
          <w:lang w:val="en-GB"/>
        </w:rPr>
      </w:pPr>
      <w:r w:rsidRPr="00E91A9D">
        <w:rPr>
          <w:lang w:val="en-GB"/>
        </w:rPr>
        <w:t xml:space="preserve">9. </w:t>
      </w:r>
      <w:r w:rsidRPr="00E91A9D">
        <w:rPr>
          <w:lang w:val="en-GB"/>
        </w:rPr>
        <w:tab/>
      </w:r>
      <w:proofErr w:type="spellStart"/>
      <w:r w:rsidRPr="00E91A9D">
        <w:rPr>
          <w:lang w:val="en-GB"/>
        </w:rPr>
        <w:t>Haug</w:t>
      </w:r>
      <w:proofErr w:type="spellEnd"/>
      <w:r w:rsidRPr="00E91A9D">
        <w:rPr>
          <w:lang w:val="en-GB"/>
        </w:rPr>
        <w:t xml:space="preserve"> S, Paz Castro R, Schaub MP. Efficacy of a technology-based integrated smoking cessation and alcohol intervention for smoking cessation in adolescents: Results of a cluster-randomised controlled trial. J Consult </w:t>
      </w:r>
      <w:proofErr w:type="spellStart"/>
      <w:r w:rsidRPr="00E91A9D">
        <w:rPr>
          <w:lang w:val="en-GB"/>
        </w:rPr>
        <w:t>Clin</w:t>
      </w:r>
      <w:proofErr w:type="spellEnd"/>
      <w:r w:rsidRPr="00E91A9D">
        <w:rPr>
          <w:lang w:val="en-GB"/>
        </w:rPr>
        <w:t xml:space="preserve"> </w:t>
      </w:r>
      <w:proofErr w:type="spellStart"/>
      <w:r w:rsidRPr="00E91A9D">
        <w:rPr>
          <w:lang w:val="en-GB"/>
        </w:rPr>
        <w:t>Psychol</w:t>
      </w:r>
      <w:proofErr w:type="spellEnd"/>
      <w:r w:rsidRPr="00E91A9D">
        <w:rPr>
          <w:lang w:val="en-GB"/>
        </w:rPr>
        <w:t xml:space="preserve"> under review; </w:t>
      </w:r>
    </w:p>
    <w:p w14:paraId="082867F2" w14:textId="77777777" w:rsidR="00E91A9D" w:rsidRPr="006766E5" w:rsidRDefault="00E91A9D" w:rsidP="00E91A9D">
      <w:pPr>
        <w:pStyle w:val="Literaturverzeichnis"/>
        <w:rPr>
          <w:lang w:val="en-GB"/>
        </w:rPr>
      </w:pPr>
      <w:r w:rsidRPr="00E91A9D">
        <w:rPr>
          <w:lang w:val="en-GB"/>
        </w:rPr>
        <w:t xml:space="preserve">10. </w:t>
      </w:r>
      <w:r w:rsidRPr="00E91A9D">
        <w:rPr>
          <w:lang w:val="en-GB"/>
        </w:rPr>
        <w:tab/>
      </w:r>
      <w:proofErr w:type="spellStart"/>
      <w:r w:rsidRPr="00E91A9D">
        <w:rPr>
          <w:lang w:val="en-GB"/>
        </w:rPr>
        <w:t>Haug</w:t>
      </w:r>
      <w:proofErr w:type="spellEnd"/>
      <w:r w:rsidRPr="00E91A9D">
        <w:rPr>
          <w:lang w:val="en-GB"/>
        </w:rPr>
        <w:t xml:space="preserve"> S, Schaub MP, </w:t>
      </w:r>
      <w:proofErr w:type="spellStart"/>
      <w:r w:rsidRPr="00E91A9D">
        <w:rPr>
          <w:lang w:val="en-GB"/>
        </w:rPr>
        <w:t>Venzin</w:t>
      </w:r>
      <w:proofErr w:type="spellEnd"/>
      <w:r w:rsidRPr="00E91A9D">
        <w:rPr>
          <w:lang w:val="en-GB"/>
        </w:rPr>
        <w:t xml:space="preserve"> V, </w:t>
      </w:r>
      <w:proofErr w:type="gramStart"/>
      <w:r w:rsidRPr="00E91A9D">
        <w:rPr>
          <w:lang w:val="en-GB"/>
        </w:rPr>
        <w:t>Meyer</w:t>
      </w:r>
      <w:proofErr w:type="gramEnd"/>
      <w:r w:rsidRPr="00E91A9D">
        <w:rPr>
          <w:lang w:val="en-GB"/>
        </w:rPr>
        <w:t xml:space="preserve"> C, John U. Efficacy of a Text Message-Based Smoking Cessation Intervention for Young People: A Cluster Randomized Controlled Trial. </w:t>
      </w:r>
      <w:r w:rsidRPr="006766E5">
        <w:rPr>
          <w:lang w:val="en-GB"/>
        </w:rPr>
        <w:t>J Med Internet Res 2013 Aug 16</w:t>
      </w:r>
      <w:proofErr w:type="gramStart"/>
      <w:r w:rsidRPr="006766E5">
        <w:rPr>
          <w:lang w:val="en-GB"/>
        </w:rPr>
        <w:t>;15</w:t>
      </w:r>
      <w:proofErr w:type="gramEnd"/>
      <w:r w:rsidRPr="006766E5">
        <w:rPr>
          <w:lang w:val="en-GB"/>
        </w:rPr>
        <w:t>(8). PMID: 23956024</w:t>
      </w:r>
    </w:p>
    <w:p w14:paraId="11287666" w14:textId="77777777" w:rsidR="00E91A9D" w:rsidRPr="00E91A9D" w:rsidRDefault="00E91A9D" w:rsidP="00E91A9D">
      <w:pPr>
        <w:pStyle w:val="Literaturverzeichnis"/>
        <w:rPr>
          <w:lang w:val="en-GB"/>
        </w:rPr>
      </w:pPr>
      <w:r w:rsidRPr="006766E5">
        <w:rPr>
          <w:lang w:val="en-GB"/>
        </w:rPr>
        <w:t xml:space="preserve">11. </w:t>
      </w:r>
      <w:r w:rsidRPr="006766E5">
        <w:rPr>
          <w:lang w:val="en-GB"/>
        </w:rPr>
        <w:tab/>
      </w:r>
      <w:proofErr w:type="spellStart"/>
      <w:r w:rsidRPr="006766E5">
        <w:rPr>
          <w:lang w:val="en-GB"/>
        </w:rPr>
        <w:t>Businelle</w:t>
      </w:r>
      <w:proofErr w:type="spellEnd"/>
      <w:r w:rsidRPr="006766E5">
        <w:rPr>
          <w:lang w:val="en-GB"/>
        </w:rPr>
        <w:t xml:space="preserve"> MS, Ma P, </w:t>
      </w:r>
      <w:proofErr w:type="spellStart"/>
      <w:r w:rsidRPr="006766E5">
        <w:rPr>
          <w:lang w:val="en-GB"/>
        </w:rPr>
        <w:t>Kendzor</w:t>
      </w:r>
      <w:proofErr w:type="spellEnd"/>
      <w:r w:rsidRPr="006766E5">
        <w:rPr>
          <w:lang w:val="en-GB"/>
        </w:rPr>
        <w:t xml:space="preserve"> DE, Frank SG, </w:t>
      </w:r>
      <w:proofErr w:type="spellStart"/>
      <w:r w:rsidRPr="006766E5">
        <w:rPr>
          <w:lang w:val="en-GB"/>
        </w:rPr>
        <w:t>Vidrine</w:t>
      </w:r>
      <w:proofErr w:type="spellEnd"/>
      <w:r w:rsidRPr="006766E5">
        <w:rPr>
          <w:lang w:val="en-GB"/>
        </w:rPr>
        <w:t xml:space="preserve"> DJ, Wetter DW. </w:t>
      </w:r>
      <w:r w:rsidRPr="00E91A9D">
        <w:rPr>
          <w:lang w:val="en-GB"/>
        </w:rPr>
        <w:t>An Ecological Momentary Intervention for Smoking Cessation: Evaluation of Feasibility and Effectiveness. J Med Internet Res 2016</w:t>
      </w:r>
      <w:proofErr w:type="gramStart"/>
      <w:r w:rsidRPr="00E91A9D">
        <w:rPr>
          <w:lang w:val="en-GB"/>
        </w:rPr>
        <w:t>;18</w:t>
      </w:r>
      <w:proofErr w:type="gramEnd"/>
      <w:r w:rsidRPr="00E91A9D">
        <w:rPr>
          <w:lang w:val="en-GB"/>
        </w:rPr>
        <w:t>(12):e321. PMID: 27956375</w:t>
      </w:r>
    </w:p>
    <w:p w14:paraId="5852E578" w14:textId="77777777" w:rsidR="00E91A9D" w:rsidRPr="00E91A9D" w:rsidRDefault="00E91A9D" w:rsidP="00E91A9D">
      <w:pPr>
        <w:pStyle w:val="Literaturverzeichnis"/>
        <w:rPr>
          <w:lang w:val="en-GB"/>
        </w:rPr>
      </w:pPr>
      <w:r w:rsidRPr="00E91A9D">
        <w:rPr>
          <w:lang w:val="en-GB"/>
        </w:rPr>
        <w:t xml:space="preserve">12. </w:t>
      </w:r>
      <w:r w:rsidRPr="00E91A9D">
        <w:rPr>
          <w:lang w:val="en-GB"/>
        </w:rPr>
        <w:tab/>
        <w:t xml:space="preserve">Borland R, </w:t>
      </w:r>
      <w:proofErr w:type="spellStart"/>
      <w:r w:rsidRPr="00E91A9D">
        <w:rPr>
          <w:lang w:val="en-GB"/>
        </w:rPr>
        <w:t>Balmford</w:t>
      </w:r>
      <w:proofErr w:type="spellEnd"/>
      <w:r w:rsidRPr="00E91A9D">
        <w:rPr>
          <w:lang w:val="en-GB"/>
        </w:rPr>
        <w:t xml:space="preserve"> J, Benda P. Population</w:t>
      </w:r>
      <w:r w:rsidRPr="00E91A9D">
        <w:rPr>
          <w:rFonts w:ascii="Cambria Math" w:hAnsi="Cambria Math" w:cs="Cambria Math"/>
          <w:lang w:val="en-GB"/>
        </w:rPr>
        <w:t>‐</w:t>
      </w:r>
      <w:r w:rsidRPr="00E91A9D">
        <w:rPr>
          <w:lang w:val="en-GB"/>
        </w:rPr>
        <w:t>level effects of automated smoking cessation help programs: a randomized controlled trial. Addiction 2013</w:t>
      </w:r>
      <w:proofErr w:type="gramStart"/>
      <w:r w:rsidRPr="00E91A9D">
        <w:rPr>
          <w:lang w:val="en-GB"/>
        </w:rPr>
        <w:t>;108</w:t>
      </w:r>
      <w:proofErr w:type="gramEnd"/>
      <w:r w:rsidRPr="00E91A9D">
        <w:rPr>
          <w:lang w:val="en-GB"/>
        </w:rPr>
        <w:t>(3):618–628. PMID: 22994457</w:t>
      </w:r>
    </w:p>
    <w:p w14:paraId="7F3A1231" w14:textId="77777777" w:rsidR="00E91A9D" w:rsidRPr="00E91A9D" w:rsidRDefault="00E91A9D" w:rsidP="00E91A9D">
      <w:pPr>
        <w:pStyle w:val="Literaturverzeichnis"/>
        <w:rPr>
          <w:lang w:val="en-GB"/>
        </w:rPr>
      </w:pPr>
      <w:r w:rsidRPr="00E91A9D">
        <w:rPr>
          <w:lang w:val="en-GB"/>
        </w:rPr>
        <w:lastRenderedPageBreak/>
        <w:t xml:space="preserve">13. </w:t>
      </w:r>
      <w:r w:rsidRPr="00E91A9D">
        <w:rPr>
          <w:lang w:val="en-GB"/>
        </w:rPr>
        <w:tab/>
      </w:r>
      <w:proofErr w:type="spellStart"/>
      <w:r w:rsidRPr="00E91A9D">
        <w:rPr>
          <w:lang w:val="en-GB"/>
        </w:rPr>
        <w:t>Suffoletto</w:t>
      </w:r>
      <w:proofErr w:type="spellEnd"/>
      <w:r w:rsidRPr="00E91A9D">
        <w:rPr>
          <w:lang w:val="en-GB"/>
        </w:rPr>
        <w:t xml:space="preserve"> B. Text message </w:t>
      </w:r>
      <w:proofErr w:type="spellStart"/>
      <w:r w:rsidRPr="00E91A9D">
        <w:rPr>
          <w:lang w:val="en-GB"/>
        </w:rPr>
        <w:t>behavioral</w:t>
      </w:r>
      <w:proofErr w:type="spellEnd"/>
      <w:r w:rsidRPr="00E91A9D">
        <w:rPr>
          <w:lang w:val="en-GB"/>
        </w:rPr>
        <w:t xml:space="preserve"> interventions: from here to where? </w:t>
      </w:r>
      <w:proofErr w:type="spellStart"/>
      <w:r w:rsidRPr="00E91A9D">
        <w:rPr>
          <w:lang w:val="en-GB"/>
        </w:rPr>
        <w:t>Curr</w:t>
      </w:r>
      <w:proofErr w:type="spellEnd"/>
      <w:r w:rsidRPr="00E91A9D">
        <w:rPr>
          <w:lang w:val="en-GB"/>
        </w:rPr>
        <w:t xml:space="preserve"> </w:t>
      </w:r>
      <w:proofErr w:type="spellStart"/>
      <w:r w:rsidRPr="00E91A9D">
        <w:rPr>
          <w:lang w:val="en-GB"/>
        </w:rPr>
        <w:t>Opin</w:t>
      </w:r>
      <w:proofErr w:type="spellEnd"/>
      <w:r w:rsidRPr="00E91A9D">
        <w:rPr>
          <w:lang w:val="en-GB"/>
        </w:rPr>
        <w:t xml:space="preserve"> </w:t>
      </w:r>
      <w:proofErr w:type="spellStart"/>
      <w:r w:rsidRPr="00E91A9D">
        <w:rPr>
          <w:lang w:val="en-GB"/>
        </w:rPr>
        <w:t>Psychol</w:t>
      </w:r>
      <w:proofErr w:type="spellEnd"/>
      <w:r w:rsidRPr="00E91A9D">
        <w:rPr>
          <w:lang w:val="en-GB"/>
        </w:rPr>
        <w:t xml:space="preserve"> 2016 Jun</w:t>
      </w:r>
      <w:proofErr w:type="gramStart"/>
      <w:r w:rsidRPr="00E91A9D">
        <w:rPr>
          <w:lang w:val="en-GB"/>
        </w:rPr>
        <w:t>;9:16</w:t>
      </w:r>
      <w:proofErr w:type="gramEnd"/>
      <w:r w:rsidRPr="00E91A9D">
        <w:rPr>
          <w:lang w:val="en-GB"/>
        </w:rPr>
        <w:t>–21. PMID: 26665157</w:t>
      </w:r>
    </w:p>
    <w:p w14:paraId="71D8EDB0" w14:textId="77777777" w:rsidR="00E91A9D" w:rsidRPr="00E91A9D" w:rsidRDefault="00E91A9D" w:rsidP="00E91A9D">
      <w:pPr>
        <w:pStyle w:val="Literaturverzeichnis"/>
        <w:rPr>
          <w:lang w:val="en-GB"/>
        </w:rPr>
      </w:pPr>
      <w:r w:rsidRPr="00E91A9D">
        <w:rPr>
          <w:lang w:val="en-GB"/>
        </w:rPr>
        <w:t xml:space="preserve">14. </w:t>
      </w:r>
      <w:r w:rsidRPr="00E91A9D">
        <w:rPr>
          <w:lang w:val="en-GB"/>
        </w:rPr>
        <w:tab/>
      </w:r>
      <w:proofErr w:type="spellStart"/>
      <w:r w:rsidRPr="00E91A9D">
        <w:rPr>
          <w:lang w:val="en-GB"/>
        </w:rPr>
        <w:t>Heminger</w:t>
      </w:r>
      <w:proofErr w:type="spellEnd"/>
      <w:r w:rsidRPr="00E91A9D">
        <w:rPr>
          <w:lang w:val="en-GB"/>
        </w:rPr>
        <w:t xml:space="preserve"> CL, Boal AL, </w:t>
      </w:r>
      <w:proofErr w:type="spellStart"/>
      <w:r w:rsidRPr="00E91A9D">
        <w:rPr>
          <w:lang w:val="en-GB"/>
        </w:rPr>
        <w:t>Zumer</w:t>
      </w:r>
      <w:proofErr w:type="spellEnd"/>
      <w:r w:rsidRPr="00E91A9D">
        <w:rPr>
          <w:lang w:val="en-GB"/>
        </w:rPr>
        <w:t xml:space="preserve"> M, </w:t>
      </w:r>
      <w:proofErr w:type="spellStart"/>
      <w:r w:rsidRPr="00E91A9D">
        <w:rPr>
          <w:lang w:val="en-GB"/>
        </w:rPr>
        <w:t>Abroms</w:t>
      </w:r>
      <w:proofErr w:type="spellEnd"/>
      <w:r w:rsidRPr="00E91A9D">
        <w:rPr>
          <w:lang w:val="en-GB"/>
        </w:rPr>
        <w:t xml:space="preserve"> LC. Text2Quit: an analysis of participant engagement in the mobile smoking cessation program. Am J Drug Alcohol Abuse 2016 Jul 3</w:t>
      </w:r>
      <w:proofErr w:type="gramStart"/>
      <w:r w:rsidRPr="00E91A9D">
        <w:rPr>
          <w:lang w:val="en-GB"/>
        </w:rPr>
        <w:t>;42</w:t>
      </w:r>
      <w:proofErr w:type="gramEnd"/>
      <w:r w:rsidRPr="00E91A9D">
        <w:rPr>
          <w:lang w:val="en-GB"/>
        </w:rPr>
        <w:t>(4):450–458. PMID: 27120396</w:t>
      </w:r>
    </w:p>
    <w:p w14:paraId="2A237DF0" w14:textId="77777777" w:rsidR="00E91A9D" w:rsidRPr="00E91A9D" w:rsidRDefault="00E91A9D" w:rsidP="00E91A9D">
      <w:pPr>
        <w:pStyle w:val="Literaturverzeichnis"/>
        <w:rPr>
          <w:lang w:val="en-GB"/>
        </w:rPr>
      </w:pPr>
      <w:r w:rsidRPr="00E91A9D">
        <w:rPr>
          <w:lang w:val="en-GB"/>
        </w:rPr>
        <w:t xml:space="preserve">15. </w:t>
      </w:r>
      <w:r w:rsidRPr="00E91A9D">
        <w:rPr>
          <w:lang w:val="en-GB"/>
        </w:rPr>
        <w:tab/>
      </w:r>
      <w:proofErr w:type="spellStart"/>
      <w:r w:rsidRPr="00E91A9D">
        <w:rPr>
          <w:lang w:val="en-GB"/>
        </w:rPr>
        <w:t>Christofferson</w:t>
      </w:r>
      <w:proofErr w:type="spellEnd"/>
      <w:r w:rsidRPr="00E91A9D">
        <w:rPr>
          <w:lang w:val="en-GB"/>
        </w:rPr>
        <w:t xml:space="preserve"> DE, Hertzberg JS, Beckham JC, Dennis PA, Hamlett-Berry K. Engagement and abstinence among users of a smoking cessation text message program for veterans. Addict </w:t>
      </w:r>
      <w:proofErr w:type="spellStart"/>
      <w:r w:rsidRPr="00E91A9D">
        <w:rPr>
          <w:lang w:val="en-GB"/>
        </w:rPr>
        <w:t>Behav</w:t>
      </w:r>
      <w:proofErr w:type="spellEnd"/>
      <w:r w:rsidRPr="00E91A9D">
        <w:rPr>
          <w:lang w:val="en-GB"/>
        </w:rPr>
        <w:t xml:space="preserve"> 2016 Nov</w:t>
      </w:r>
      <w:proofErr w:type="gramStart"/>
      <w:r w:rsidRPr="00E91A9D">
        <w:rPr>
          <w:lang w:val="en-GB"/>
        </w:rPr>
        <w:t>;62:47</w:t>
      </w:r>
      <w:proofErr w:type="gramEnd"/>
      <w:r w:rsidRPr="00E91A9D">
        <w:rPr>
          <w:lang w:val="en-GB"/>
        </w:rPr>
        <w:t>–53. PMID: 27318948</w:t>
      </w:r>
    </w:p>
    <w:p w14:paraId="2EA3238D" w14:textId="77777777" w:rsidR="00E91A9D" w:rsidRPr="00E91A9D" w:rsidRDefault="00E91A9D" w:rsidP="00E91A9D">
      <w:pPr>
        <w:pStyle w:val="Literaturverzeichnis"/>
        <w:rPr>
          <w:lang w:val="en-GB"/>
        </w:rPr>
      </w:pPr>
      <w:r w:rsidRPr="00E91A9D">
        <w:rPr>
          <w:lang w:val="en-GB"/>
        </w:rPr>
        <w:t xml:space="preserve">16. </w:t>
      </w:r>
      <w:r w:rsidRPr="00E91A9D">
        <w:rPr>
          <w:lang w:val="en-GB"/>
        </w:rPr>
        <w:tab/>
      </w:r>
      <w:proofErr w:type="spellStart"/>
      <w:r w:rsidRPr="00E91A9D">
        <w:rPr>
          <w:lang w:val="en-GB"/>
        </w:rPr>
        <w:t>Strecher</w:t>
      </w:r>
      <w:proofErr w:type="spellEnd"/>
      <w:r w:rsidRPr="00E91A9D">
        <w:rPr>
          <w:lang w:val="en-GB"/>
        </w:rPr>
        <w:t xml:space="preserve"> V, McClure J, Alexander G, Chakraborty B, Nair V, </w:t>
      </w:r>
      <w:proofErr w:type="spellStart"/>
      <w:r w:rsidRPr="00E91A9D">
        <w:rPr>
          <w:lang w:val="en-GB"/>
        </w:rPr>
        <w:t>Konkel</w:t>
      </w:r>
      <w:proofErr w:type="spellEnd"/>
      <w:r w:rsidRPr="00E91A9D">
        <w:rPr>
          <w:lang w:val="en-GB"/>
        </w:rPr>
        <w:t xml:space="preserve"> J, et al. The Role of Engagement in a Tailored Web-Based Smoking Cessation Program: Randomized Controlled Trial. J Med Internet Res 2008</w:t>
      </w:r>
      <w:proofErr w:type="gramStart"/>
      <w:r w:rsidRPr="00E91A9D">
        <w:rPr>
          <w:lang w:val="en-GB"/>
        </w:rPr>
        <w:t>;10</w:t>
      </w:r>
      <w:proofErr w:type="gramEnd"/>
      <w:r w:rsidRPr="00E91A9D">
        <w:rPr>
          <w:lang w:val="en-GB"/>
        </w:rPr>
        <w:t>(5):e36. PMID: 18984557</w:t>
      </w:r>
    </w:p>
    <w:p w14:paraId="43979703" w14:textId="77777777" w:rsidR="00E91A9D" w:rsidRPr="00E91A9D" w:rsidRDefault="00E91A9D" w:rsidP="00E91A9D">
      <w:pPr>
        <w:pStyle w:val="Literaturverzeichnis"/>
        <w:rPr>
          <w:lang w:val="en-GB"/>
        </w:rPr>
      </w:pPr>
      <w:r w:rsidRPr="00E91A9D">
        <w:rPr>
          <w:lang w:val="en-GB"/>
        </w:rPr>
        <w:t xml:space="preserve">17. </w:t>
      </w:r>
      <w:r w:rsidRPr="00E91A9D">
        <w:rPr>
          <w:lang w:val="en-GB"/>
        </w:rPr>
        <w:tab/>
      </w:r>
      <w:proofErr w:type="spellStart"/>
      <w:r w:rsidRPr="00E91A9D">
        <w:rPr>
          <w:lang w:val="en-GB"/>
        </w:rPr>
        <w:t>Schwarzer</w:t>
      </w:r>
      <w:proofErr w:type="spellEnd"/>
      <w:r w:rsidRPr="00E91A9D">
        <w:rPr>
          <w:lang w:val="en-GB"/>
        </w:rPr>
        <w:t xml:space="preserve"> R, </w:t>
      </w:r>
      <w:proofErr w:type="spellStart"/>
      <w:r w:rsidRPr="00E91A9D">
        <w:rPr>
          <w:lang w:val="en-GB"/>
        </w:rPr>
        <w:t>Satow</w:t>
      </w:r>
      <w:proofErr w:type="spellEnd"/>
      <w:r w:rsidRPr="00E91A9D">
        <w:rPr>
          <w:lang w:val="en-GB"/>
        </w:rPr>
        <w:t xml:space="preserve"> L. Online intervention engagement predicts smoking cessation. </w:t>
      </w:r>
      <w:proofErr w:type="spellStart"/>
      <w:r w:rsidRPr="00E91A9D">
        <w:rPr>
          <w:lang w:val="en-GB"/>
        </w:rPr>
        <w:t>Prev</w:t>
      </w:r>
      <w:proofErr w:type="spellEnd"/>
      <w:r w:rsidRPr="00E91A9D">
        <w:rPr>
          <w:lang w:val="en-GB"/>
        </w:rPr>
        <w:t xml:space="preserve"> Med 2012</w:t>
      </w:r>
      <w:proofErr w:type="gramStart"/>
      <w:r w:rsidRPr="00E91A9D">
        <w:rPr>
          <w:lang w:val="en-GB"/>
        </w:rPr>
        <w:t>;55</w:t>
      </w:r>
      <w:proofErr w:type="gramEnd"/>
      <w:r w:rsidRPr="00E91A9D">
        <w:rPr>
          <w:lang w:val="en-GB"/>
        </w:rPr>
        <w:t>(3):233–236. PMID: 22813919</w:t>
      </w:r>
    </w:p>
    <w:p w14:paraId="2989302C" w14:textId="77777777" w:rsidR="00E91A9D" w:rsidRPr="00E91A9D" w:rsidRDefault="00E91A9D" w:rsidP="00E91A9D">
      <w:pPr>
        <w:pStyle w:val="Literaturverzeichnis"/>
        <w:rPr>
          <w:lang w:val="en-GB"/>
        </w:rPr>
      </w:pPr>
      <w:r w:rsidRPr="00E91A9D">
        <w:rPr>
          <w:lang w:val="en-GB"/>
        </w:rPr>
        <w:t xml:space="preserve">18. </w:t>
      </w:r>
      <w:r w:rsidRPr="00E91A9D">
        <w:rPr>
          <w:lang w:val="en-GB"/>
        </w:rPr>
        <w:tab/>
        <w:t xml:space="preserve">Richardson A, Graham AL, Cobb N, Xiao H, </w:t>
      </w:r>
      <w:proofErr w:type="spellStart"/>
      <w:r w:rsidRPr="00E91A9D">
        <w:rPr>
          <w:lang w:val="en-GB"/>
        </w:rPr>
        <w:t>Mushro</w:t>
      </w:r>
      <w:proofErr w:type="spellEnd"/>
      <w:r w:rsidRPr="00E91A9D">
        <w:rPr>
          <w:lang w:val="en-GB"/>
        </w:rPr>
        <w:t xml:space="preserve"> A, Abrams D, et al. Engagement Promotes Abstinence in a Web-based Cessation Intervention: Cohort Study. J Med Internet Res 2013</w:t>
      </w:r>
      <w:proofErr w:type="gramStart"/>
      <w:r w:rsidRPr="00E91A9D">
        <w:rPr>
          <w:lang w:val="en-GB"/>
        </w:rPr>
        <w:t>;15</w:t>
      </w:r>
      <w:proofErr w:type="gramEnd"/>
      <w:r w:rsidRPr="00E91A9D">
        <w:rPr>
          <w:lang w:val="en-GB"/>
        </w:rPr>
        <w:t>(1):e14. PMID: 23353649</w:t>
      </w:r>
    </w:p>
    <w:p w14:paraId="0F09D8E9" w14:textId="77777777" w:rsidR="00E91A9D" w:rsidRPr="00E91A9D" w:rsidRDefault="00E91A9D" w:rsidP="00E91A9D">
      <w:pPr>
        <w:pStyle w:val="Literaturverzeichnis"/>
        <w:rPr>
          <w:lang w:val="en-GB"/>
        </w:rPr>
      </w:pPr>
      <w:r w:rsidRPr="00E91A9D">
        <w:rPr>
          <w:lang w:val="en-GB"/>
        </w:rPr>
        <w:t xml:space="preserve">19. </w:t>
      </w:r>
      <w:r w:rsidRPr="00E91A9D">
        <w:rPr>
          <w:lang w:val="en-GB"/>
        </w:rPr>
        <w:tab/>
      </w:r>
      <w:proofErr w:type="spellStart"/>
      <w:r w:rsidRPr="00E91A9D">
        <w:rPr>
          <w:lang w:val="en-GB"/>
        </w:rPr>
        <w:t>Balmford</w:t>
      </w:r>
      <w:proofErr w:type="spellEnd"/>
      <w:r w:rsidRPr="00E91A9D">
        <w:rPr>
          <w:lang w:val="en-GB"/>
        </w:rPr>
        <w:t xml:space="preserve"> J, Borland R. How Do Smokers Use a Smoking Cessation Text Messaging Intervention? Nicotine </w:t>
      </w:r>
      <w:proofErr w:type="spellStart"/>
      <w:r w:rsidRPr="00E91A9D">
        <w:rPr>
          <w:lang w:val="en-GB"/>
        </w:rPr>
        <w:t>Tob</w:t>
      </w:r>
      <w:proofErr w:type="spellEnd"/>
      <w:r w:rsidRPr="00E91A9D">
        <w:rPr>
          <w:lang w:val="en-GB"/>
        </w:rPr>
        <w:t xml:space="preserve"> Res 2014 Dec 1</w:t>
      </w:r>
      <w:proofErr w:type="gramStart"/>
      <w:r w:rsidRPr="00E91A9D">
        <w:rPr>
          <w:lang w:val="en-GB"/>
        </w:rPr>
        <w:t>;16</w:t>
      </w:r>
      <w:proofErr w:type="gramEnd"/>
      <w:r w:rsidRPr="00E91A9D">
        <w:rPr>
          <w:lang w:val="en-GB"/>
        </w:rPr>
        <w:t>(12):1586–1592. PMID: 25031312</w:t>
      </w:r>
    </w:p>
    <w:p w14:paraId="07D31CB8" w14:textId="77777777" w:rsidR="00E91A9D" w:rsidRPr="00907407" w:rsidRDefault="00E91A9D" w:rsidP="00E91A9D">
      <w:pPr>
        <w:pStyle w:val="Literaturverzeichnis"/>
        <w:rPr>
          <w:lang w:val="en-GB"/>
        </w:rPr>
      </w:pPr>
      <w:r w:rsidRPr="00E91A9D">
        <w:rPr>
          <w:lang w:val="en-GB"/>
        </w:rPr>
        <w:t xml:space="preserve">20. </w:t>
      </w:r>
      <w:r w:rsidRPr="00E91A9D">
        <w:rPr>
          <w:lang w:val="en-GB"/>
        </w:rPr>
        <w:tab/>
        <w:t xml:space="preserve">Saul JE, Amato MS, Cha S, Graham AL. Engagement and attrition in Internet smoking cessation interventions: Insights from a cross-sectional survey of “one-hit-wonders.” </w:t>
      </w:r>
      <w:r w:rsidRPr="00907407">
        <w:rPr>
          <w:lang w:val="en-GB"/>
        </w:rPr>
        <w:t xml:space="preserve">Internet </w:t>
      </w:r>
      <w:proofErr w:type="spellStart"/>
      <w:r w:rsidRPr="00907407">
        <w:rPr>
          <w:lang w:val="en-GB"/>
        </w:rPr>
        <w:t>Interv</w:t>
      </w:r>
      <w:proofErr w:type="spellEnd"/>
      <w:r w:rsidRPr="00907407">
        <w:rPr>
          <w:lang w:val="en-GB"/>
        </w:rPr>
        <w:t xml:space="preserve"> 2016 Sep</w:t>
      </w:r>
      <w:proofErr w:type="gramStart"/>
      <w:r w:rsidRPr="00907407">
        <w:rPr>
          <w:lang w:val="en-GB"/>
        </w:rPr>
        <w:t>;5:23</w:t>
      </w:r>
      <w:proofErr w:type="gramEnd"/>
      <w:r w:rsidRPr="00907407">
        <w:rPr>
          <w:lang w:val="en-GB"/>
        </w:rPr>
        <w:t xml:space="preserve">–29. </w:t>
      </w:r>
    </w:p>
    <w:p w14:paraId="4901698D" w14:textId="77777777" w:rsidR="00E91A9D" w:rsidRPr="00E91A9D" w:rsidRDefault="00E91A9D" w:rsidP="00E91A9D">
      <w:pPr>
        <w:pStyle w:val="Literaturverzeichnis"/>
      </w:pPr>
      <w:r w:rsidRPr="00907407">
        <w:rPr>
          <w:lang w:val="en-GB"/>
        </w:rPr>
        <w:t xml:space="preserve">21. </w:t>
      </w:r>
      <w:r w:rsidRPr="00907407">
        <w:rPr>
          <w:lang w:val="en-GB"/>
        </w:rPr>
        <w:tab/>
      </w:r>
      <w:proofErr w:type="spellStart"/>
      <w:r w:rsidRPr="00E91A9D">
        <w:t>Gmel</w:t>
      </w:r>
      <w:proofErr w:type="spellEnd"/>
      <w:r w:rsidRPr="00E91A9D">
        <w:t xml:space="preserve"> G, </w:t>
      </w:r>
      <w:proofErr w:type="spellStart"/>
      <w:r w:rsidRPr="00E91A9D">
        <w:t>Kuendig</w:t>
      </w:r>
      <w:proofErr w:type="spellEnd"/>
      <w:r w:rsidRPr="00E91A9D">
        <w:t xml:space="preserve"> H, </w:t>
      </w:r>
      <w:proofErr w:type="spellStart"/>
      <w:r w:rsidRPr="00E91A9D">
        <w:t>Notari</w:t>
      </w:r>
      <w:proofErr w:type="spellEnd"/>
      <w:r w:rsidRPr="00E91A9D">
        <w:t xml:space="preserve"> L, </w:t>
      </w:r>
      <w:proofErr w:type="spellStart"/>
      <w:r w:rsidRPr="00E91A9D">
        <w:t>Gmel</w:t>
      </w:r>
      <w:proofErr w:type="spellEnd"/>
      <w:r w:rsidRPr="00E91A9D">
        <w:t xml:space="preserve"> C. </w:t>
      </w:r>
      <w:proofErr w:type="spellStart"/>
      <w:r w:rsidRPr="00E91A9D">
        <w:t>Suchtmonitoring</w:t>
      </w:r>
      <w:proofErr w:type="spellEnd"/>
      <w:r w:rsidRPr="00E91A9D">
        <w:t xml:space="preserve"> Schweiz-Konsum von Alkohol, Tabak und illegalen Drogen in der Schweiz im Jahr 2015 [</w:t>
      </w:r>
      <w:proofErr w:type="spellStart"/>
      <w:r w:rsidRPr="00E91A9D">
        <w:t>Addiction</w:t>
      </w:r>
      <w:proofErr w:type="spellEnd"/>
      <w:r w:rsidRPr="00E91A9D">
        <w:t xml:space="preserve"> </w:t>
      </w:r>
      <w:proofErr w:type="spellStart"/>
      <w:r w:rsidRPr="00E91A9D">
        <w:t>monitoring</w:t>
      </w:r>
      <w:proofErr w:type="spellEnd"/>
      <w:r w:rsidRPr="00E91A9D">
        <w:t xml:space="preserve"> </w:t>
      </w:r>
      <w:proofErr w:type="spellStart"/>
      <w:r w:rsidRPr="00E91A9D">
        <w:t>Switzerland</w:t>
      </w:r>
      <w:proofErr w:type="spellEnd"/>
      <w:r w:rsidRPr="00E91A9D">
        <w:t xml:space="preserve">: </w:t>
      </w:r>
      <w:proofErr w:type="spellStart"/>
      <w:r w:rsidRPr="00E91A9D">
        <w:t>Use</w:t>
      </w:r>
      <w:proofErr w:type="spellEnd"/>
      <w:r w:rsidRPr="00E91A9D">
        <w:t xml:space="preserve"> </w:t>
      </w:r>
      <w:proofErr w:type="spellStart"/>
      <w:r w:rsidRPr="00E91A9D">
        <w:t>of</w:t>
      </w:r>
      <w:proofErr w:type="spellEnd"/>
      <w:r w:rsidRPr="00E91A9D">
        <w:t xml:space="preserve"> </w:t>
      </w:r>
      <w:proofErr w:type="spellStart"/>
      <w:r w:rsidRPr="00E91A9D">
        <w:t>alcohol</w:t>
      </w:r>
      <w:proofErr w:type="spellEnd"/>
      <w:r w:rsidRPr="00E91A9D">
        <w:t xml:space="preserve">, </w:t>
      </w:r>
      <w:proofErr w:type="spellStart"/>
      <w:r w:rsidRPr="00E91A9D">
        <w:t>tobacco</w:t>
      </w:r>
      <w:proofErr w:type="spellEnd"/>
      <w:r w:rsidRPr="00E91A9D">
        <w:t xml:space="preserve"> </w:t>
      </w:r>
      <w:proofErr w:type="spellStart"/>
      <w:r w:rsidRPr="00E91A9D">
        <w:t>and</w:t>
      </w:r>
      <w:proofErr w:type="spellEnd"/>
      <w:r w:rsidRPr="00E91A9D">
        <w:t xml:space="preserve"> illegal </w:t>
      </w:r>
      <w:proofErr w:type="spellStart"/>
      <w:r w:rsidRPr="00E91A9D">
        <w:t>drugs</w:t>
      </w:r>
      <w:proofErr w:type="spellEnd"/>
      <w:r w:rsidRPr="00E91A9D">
        <w:t xml:space="preserve"> in </w:t>
      </w:r>
      <w:proofErr w:type="spellStart"/>
      <w:r w:rsidRPr="00E91A9D">
        <w:t>Switzerland</w:t>
      </w:r>
      <w:proofErr w:type="spellEnd"/>
      <w:r w:rsidRPr="00E91A9D">
        <w:t xml:space="preserve">, </w:t>
      </w:r>
      <w:proofErr w:type="spellStart"/>
      <w:r w:rsidRPr="00E91A9D">
        <w:t>data</w:t>
      </w:r>
      <w:proofErr w:type="spellEnd"/>
      <w:r w:rsidRPr="00E91A9D">
        <w:t xml:space="preserve"> 2015] [Internet]. Lausanne: Sucht Schweiz; 2016. </w:t>
      </w:r>
      <w:proofErr w:type="spellStart"/>
      <w:r w:rsidRPr="00E91A9D">
        <w:t>Available</w:t>
      </w:r>
      <w:proofErr w:type="spellEnd"/>
      <w:r w:rsidRPr="00E91A9D">
        <w:t xml:space="preserve"> </w:t>
      </w:r>
      <w:proofErr w:type="spellStart"/>
      <w:r w:rsidRPr="00E91A9D">
        <w:t>from</w:t>
      </w:r>
      <w:proofErr w:type="spellEnd"/>
      <w:r w:rsidRPr="00E91A9D">
        <w:t>: http://www.suchtmonitoring.ch/docs/library/gmel_thezckxvvkq4.pdf</w:t>
      </w:r>
    </w:p>
    <w:p w14:paraId="563B3497" w14:textId="77777777" w:rsidR="00E91A9D" w:rsidRPr="00E91A9D" w:rsidRDefault="00E91A9D" w:rsidP="00E91A9D">
      <w:pPr>
        <w:pStyle w:val="Literaturverzeichnis"/>
        <w:rPr>
          <w:lang w:val="en-GB"/>
        </w:rPr>
      </w:pPr>
      <w:r w:rsidRPr="00E91A9D">
        <w:rPr>
          <w:lang w:val="en-GB"/>
        </w:rPr>
        <w:t xml:space="preserve">22. </w:t>
      </w:r>
      <w:r w:rsidRPr="00E91A9D">
        <w:rPr>
          <w:lang w:val="en-GB"/>
        </w:rPr>
        <w:tab/>
      </w:r>
      <w:proofErr w:type="spellStart"/>
      <w:r w:rsidRPr="00E91A9D">
        <w:rPr>
          <w:lang w:val="en-GB"/>
        </w:rPr>
        <w:t>Schwarzer</w:t>
      </w:r>
      <w:proofErr w:type="spellEnd"/>
      <w:r w:rsidRPr="00E91A9D">
        <w:rPr>
          <w:lang w:val="en-GB"/>
        </w:rPr>
        <w:t xml:space="preserve"> R. </w:t>
      </w:r>
      <w:proofErr w:type="spellStart"/>
      <w:r w:rsidRPr="00E91A9D">
        <w:rPr>
          <w:lang w:val="en-GB"/>
        </w:rPr>
        <w:t>Modeling</w:t>
      </w:r>
      <w:proofErr w:type="spellEnd"/>
      <w:r w:rsidRPr="00E91A9D">
        <w:rPr>
          <w:lang w:val="en-GB"/>
        </w:rPr>
        <w:t xml:space="preserve"> Health </w:t>
      </w:r>
      <w:proofErr w:type="spellStart"/>
      <w:r w:rsidRPr="00E91A9D">
        <w:rPr>
          <w:lang w:val="en-GB"/>
        </w:rPr>
        <w:t>Behavior</w:t>
      </w:r>
      <w:proofErr w:type="spellEnd"/>
      <w:r w:rsidRPr="00E91A9D">
        <w:rPr>
          <w:lang w:val="en-GB"/>
        </w:rPr>
        <w:t xml:space="preserve"> Change: How to Predict and Modify the Adoption and Maintenance of Health </w:t>
      </w:r>
      <w:proofErr w:type="spellStart"/>
      <w:r w:rsidRPr="00E91A9D">
        <w:rPr>
          <w:lang w:val="en-GB"/>
        </w:rPr>
        <w:t>Behaviors</w:t>
      </w:r>
      <w:proofErr w:type="spellEnd"/>
      <w:r w:rsidRPr="00E91A9D">
        <w:rPr>
          <w:lang w:val="en-GB"/>
        </w:rPr>
        <w:t xml:space="preserve">. </w:t>
      </w:r>
      <w:proofErr w:type="spellStart"/>
      <w:r w:rsidRPr="00E91A9D">
        <w:rPr>
          <w:lang w:val="en-GB"/>
        </w:rPr>
        <w:t>Appl</w:t>
      </w:r>
      <w:proofErr w:type="spellEnd"/>
      <w:r w:rsidRPr="00E91A9D">
        <w:rPr>
          <w:lang w:val="en-GB"/>
        </w:rPr>
        <w:t xml:space="preserve"> </w:t>
      </w:r>
      <w:proofErr w:type="spellStart"/>
      <w:r w:rsidRPr="00E91A9D">
        <w:rPr>
          <w:lang w:val="en-GB"/>
        </w:rPr>
        <w:t>Psychol</w:t>
      </w:r>
      <w:proofErr w:type="spellEnd"/>
      <w:r w:rsidRPr="00E91A9D">
        <w:rPr>
          <w:lang w:val="en-GB"/>
        </w:rPr>
        <w:t xml:space="preserve"> 2008 Jan 1</w:t>
      </w:r>
      <w:proofErr w:type="gramStart"/>
      <w:r w:rsidRPr="00E91A9D">
        <w:rPr>
          <w:lang w:val="en-GB"/>
        </w:rPr>
        <w:t>;57</w:t>
      </w:r>
      <w:proofErr w:type="gramEnd"/>
      <w:r w:rsidRPr="00E91A9D">
        <w:rPr>
          <w:lang w:val="en-GB"/>
        </w:rPr>
        <w:t xml:space="preserve">(1):1–29. </w:t>
      </w:r>
    </w:p>
    <w:p w14:paraId="385D740D" w14:textId="77777777" w:rsidR="00E91A9D" w:rsidRPr="00E91A9D" w:rsidRDefault="00E91A9D" w:rsidP="00E91A9D">
      <w:pPr>
        <w:pStyle w:val="Literaturverzeichnis"/>
        <w:rPr>
          <w:lang w:val="en-GB"/>
        </w:rPr>
      </w:pPr>
      <w:r w:rsidRPr="00E91A9D">
        <w:rPr>
          <w:lang w:val="en-GB"/>
        </w:rPr>
        <w:t xml:space="preserve">23. </w:t>
      </w:r>
      <w:r w:rsidRPr="00E91A9D">
        <w:rPr>
          <w:lang w:val="en-GB"/>
        </w:rPr>
        <w:tab/>
        <w:t xml:space="preserve">Ybarra ML, Prescott TL, </w:t>
      </w:r>
      <w:proofErr w:type="spellStart"/>
      <w:r w:rsidRPr="00E91A9D">
        <w:rPr>
          <w:lang w:val="en-GB"/>
        </w:rPr>
        <w:t>Holtrop</w:t>
      </w:r>
      <w:proofErr w:type="spellEnd"/>
      <w:r w:rsidRPr="00E91A9D">
        <w:rPr>
          <w:lang w:val="en-GB"/>
        </w:rPr>
        <w:t xml:space="preserve"> JS. Steps in tailoring a text messaging–based smoking cessation program for young adults. J Health </w:t>
      </w:r>
      <w:proofErr w:type="spellStart"/>
      <w:r w:rsidRPr="00E91A9D">
        <w:rPr>
          <w:lang w:val="en-GB"/>
        </w:rPr>
        <w:t>Commun</w:t>
      </w:r>
      <w:proofErr w:type="spellEnd"/>
      <w:r w:rsidRPr="00E91A9D">
        <w:rPr>
          <w:lang w:val="en-GB"/>
        </w:rPr>
        <w:t xml:space="preserve"> 2014</w:t>
      </w:r>
      <w:proofErr w:type="gramStart"/>
      <w:r w:rsidRPr="00E91A9D">
        <w:rPr>
          <w:lang w:val="en-GB"/>
        </w:rPr>
        <w:t>;19</w:t>
      </w:r>
      <w:proofErr w:type="gramEnd"/>
      <w:r w:rsidRPr="00E91A9D">
        <w:rPr>
          <w:lang w:val="en-GB"/>
        </w:rPr>
        <w:t>(12):1393–1407. PMID: 24766267</w:t>
      </w:r>
    </w:p>
    <w:p w14:paraId="7439DF7A" w14:textId="77777777" w:rsidR="00E91A9D" w:rsidRPr="00E91A9D" w:rsidRDefault="00E91A9D" w:rsidP="00E91A9D">
      <w:pPr>
        <w:pStyle w:val="Literaturverzeichnis"/>
        <w:rPr>
          <w:lang w:val="en-GB"/>
        </w:rPr>
      </w:pPr>
      <w:r w:rsidRPr="00E91A9D">
        <w:rPr>
          <w:lang w:val="en-GB"/>
        </w:rPr>
        <w:t xml:space="preserve">24. </w:t>
      </w:r>
      <w:r w:rsidRPr="00E91A9D">
        <w:rPr>
          <w:lang w:val="en-GB"/>
        </w:rPr>
        <w:tab/>
      </w:r>
      <w:proofErr w:type="spellStart"/>
      <w:r w:rsidRPr="00E91A9D">
        <w:rPr>
          <w:lang w:val="en-GB"/>
        </w:rPr>
        <w:t>Haug</w:t>
      </w:r>
      <w:proofErr w:type="spellEnd"/>
      <w:r w:rsidRPr="00E91A9D">
        <w:rPr>
          <w:lang w:val="en-GB"/>
        </w:rPr>
        <w:t xml:space="preserve"> S, Paz Castro R, Filler A, </w:t>
      </w:r>
      <w:proofErr w:type="spellStart"/>
      <w:r w:rsidRPr="00E91A9D">
        <w:rPr>
          <w:lang w:val="en-GB"/>
        </w:rPr>
        <w:t>Kowatsch</w:t>
      </w:r>
      <w:proofErr w:type="spellEnd"/>
      <w:r w:rsidRPr="00E91A9D">
        <w:rPr>
          <w:lang w:val="en-GB"/>
        </w:rPr>
        <w:t xml:space="preserve"> T, </w:t>
      </w:r>
      <w:proofErr w:type="spellStart"/>
      <w:r w:rsidRPr="00E91A9D">
        <w:rPr>
          <w:lang w:val="en-GB"/>
        </w:rPr>
        <w:t>Fleisch</w:t>
      </w:r>
      <w:proofErr w:type="spellEnd"/>
      <w:r w:rsidRPr="00E91A9D">
        <w:rPr>
          <w:lang w:val="en-GB"/>
        </w:rPr>
        <w:t xml:space="preserve"> E, Schaub MP. Efficacy of an Internet and SMS-based integrated smoking cessation and alcohol intervention for smoking cessation in young people: study protocol of a two-arm cluster randomised controlled trial. BMC Public Health 2014</w:t>
      </w:r>
      <w:proofErr w:type="gramStart"/>
      <w:r w:rsidRPr="00E91A9D">
        <w:rPr>
          <w:lang w:val="en-GB"/>
        </w:rPr>
        <w:t>;14</w:t>
      </w:r>
      <w:proofErr w:type="gramEnd"/>
      <w:r w:rsidRPr="00E91A9D">
        <w:rPr>
          <w:lang w:val="en-GB"/>
        </w:rPr>
        <w:t>(1):1140. PMID: 25369857</w:t>
      </w:r>
    </w:p>
    <w:p w14:paraId="6B3F3378" w14:textId="77777777" w:rsidR="00E91A9D" w:rsidRPr="00E91A9D" w:rsidRDefault="00E91A9D" w:rsidP="00E91A9D">
      <w:pPr>
        <w:pStyle w:val="Literaturverzeichnis"/>
        <w:rPr>
          <w:lang w:val="en-GB"/>
        </w:rPr>
      </w:pPr>
      <w:r w:rsidRPr="00E91A9D">
        <w:rPr>
          <w:lang w:val="en-GB"/>
        </w:rPr>
        <w:t xml:space="preserve">25. </w:t>
      </w:r>
      <w:r w:rsidRPr="00E91A9D">
        <w:rPr>
          <w:lang w:val="en-GB"/>
        </w:rPr>
        <w:tab/>
        <w:t xml:space="preserve">Filler A, </w:t>
      </w:r>
      <w:proofErr w:type="spellStart"/>
      <w:r w:rsidRPr="00E91A9D">
        <w:rPr>
          <w:lang w:val="en-GB"/>
        </w:rPr>
        <w:t>Kowatsch</w:t>
      </w:r>
      <w:proofErr w:type="spellEnd"/>
      <w:r w:rsidRPr="00E91A9D">
        <w:rPr>
          <w:lang w:val="en-GB"/>
        </w:rPr>
        <w:t xml:space="preserve"> T, </w:t>
      </w:r>
      <w:proofErr w:type="spellStart"/>
      <w:r w:rsidRPr="00E91A9D">
        <w:rPr>
          <w:lang w:val="en-GB"/>
        </w:rPr>
        <w:t>Haug</w:t>
      </w:r>
      <w:proofErr w:type="spellEnd"/>
      <w:r w:rsidRPr="00E91A9D">
        <w:rPr>
          <w:lang w:val="en-GB"/>
        </w:rPr>
        <w:t xml:space="preserve"> S, </w:t>
      </w:r>
      <w:proofErr w:type="spellStart"/>
      <w:r w:rsidRPr="00E91A9D">
        <w:rPr>
          <w:lang w:val="en-GB"/>
        </w:rPr>
        <w:t>Wahle</w:t>
      </w:r>
      <w:proofErr w:type="spellEnd"/>
      <w:r w:rsidRPr="00E91A9D">
        <w:rPr>
          <w:lang w:val="en-GB"/>
        </w:rPr>
        <w:t xml:space="preserve"> F, </w:t>
      </w:r>
      <w:proofErr w:type="spellStart"/>
      <w:r w:rsidRPr="00E91A9D">
        <w:rPr>
          <w:lang w:val="en-GB"/>
        </w:rPr>
        <w:t>Staake</w:t>
      </w:r>
      <w:proofErr w:type="spellEnd"/>
      <w:r w:rsidRPr="00E91A9D">
        <w:rPr>
          <w:lang w:val="en-GB"/>
        </w:rPr>
        <w:t xml:space="preserve"> T, </w:t>
      </w:r>
      <w:proofErr w:type="spellStart"/>
      <w:r w:rsidRPr="00E91A9D">
        <w:rPr>
          <w:lang w:val="en-GB"/>
        </w:rPr>
        <w:t>Fleisch</w:t>
      </w:r>
      <w:proofErr w:type="spellEnd"/>
      <w:r w:rsidRPr="00E91A9D">
        <w:rPr>
          <w:lang w:val="en-GB"/>
        </w:rPr>
        <w:t xml:space="preserve"> E. </w:t>
      </w:r>
      <w:proofErr w:type="spellStart"/>
      <w:r w:rsidRPr="00E91A9D">
        <w:rPr>
          <w:lang w:val="en-GB"/>
        </w:rPr>
        <w:t>MobileCoach</w:t>
      </w:r>
      <w:proofErr w:type="spellEnd"/>
      <w:r w:rsidRPr="00E91A9D">
        <w:rPr>
          <w:lang w:val="en-GB"/>
        </w:rPr>
        <w:t xml:space="preserve">: A Novel Open Source Platform for the Design of Evidence-based, Scalable and Low-Cost </w:t>
      </w:r>
      <w:proofErr w:type="spellStart"/>
      <w:r w:rsidRPr="00E91A9D">
        <w:rPr>
          <w:lang w:val="en-GB"/>
        </w:rPr>
        <w:t>Behavioral</w:t>
      </w:r>
      <w:proofErr w:type="spellEnd"/>
      <w:r w:rsidRPr="00E91A9D">
        <w:rPr>
          <w:lang w:val="en-GB"/>
        </w:rPr>
        <w:t xml:space="preserve"> Health Interventions - Overview and Preliminary Evaluation in the Public Health Context. Proc 14th </w:t>
      </w:r>
      <w:proofErr w:type="spellStart"/>
      <w:r w:rsidRPr="00E91A9D">
        <w:rPr>
          <w:lang w:val="en-GB"/>
        </w:rPr>
        <w:t>Annu</w:t>
      </w:r>
      <w:proofErr w:type="spellEnd"/>
      <w:r w:rsidRPr="00E91A9D">
        <w:rPr>
          <w:lang w:val="en-GB"/>
        </w:rPr>
        <w:t xml:space="preserve"> </w:t>
      </w:r>
      <w:proofErr w:type="spellStart"/>
      <w:r w:rsidRPr="00E91A9D">
        <w:rPr>
          <w:lang w:val="en-GB"/>
        </w:rPr>
        <w:t>Wirel</w:t>
      </w:r>
      <w:proofErr w:type="spellEnd"/>
      <w:r w:rsidRPr="00E91A9D">
        <w:rPr>
          <w:lang w:val="en-GB"/>
        </w:rPr>
        <w:t xml:space="preserve"> </w:t>
      </w:r>
      <w:proofErr w:type="spellStart"/>
      <w:r w:rsidRPr="00E91A9D">
        <w:rPr>
          <w:lang w:val="en-GB"/>
        </w:rPr>
        <w:t>Telecommun</w:t>
      </w:r>
      <w:proofErr w:type="spellEnd"/>
      <w:r w:rsidRPr="00E91A9D">
        <w:rPr>
          <w:lang w:val="en-GB"/>
        </w:rPr>
        <w:t xml:space="preserve"> </w:t>
      </w:r>
      <w:proofErr w:type="spellStart"/>
      <w:r w:rsidRPr="00E91A9D">
        <w:rPr>
          <w:lang w:val="en-GB"/>
        </w:rPr>
        <w:t>Symp</w:t>
      </w:r>
      <w:proofErr w:type="spellEnd"/>
      <w:r w:rsidRPr="00E91A9D">
        <w:rPr>
          <w:lang w:val="en-GB"/>
        </w:rPr>
        <w:t xml:space="preserve"> WTS 2015 New York; 2015. </w:t>
      </w:r>
    </w:p>
    <w:p w14:paraId="72A66F03" w14:textId="77777777" w:rsidR="00E91A9D" w:rsidRPr="00E91A9D" w:rsidRDefault="00E91A9D" w:rsidP="00E91A9D">
      <w:pPr>
        <w:pStyle w:val="Literaturverzeichnis"/>
        <w:rPr>
          <w:lang w:val="en-GB"/>
        </w:rPr>
      </w:pPr>
      <w:r w:rsidRPr="00E91A9D">
        <w:rPr>
          <w:lang w:val="en-GB"/>
        </w:rPr>
        <w:lastRenderedPageBreak/>
        <w:t xml:space="preserve">26. </w:t>
      </w:r>
      <w:r w:rsidRPr="00E91A9D">
        <w:rPr>
          <w:lang w:val="en-GB"/>
        </w:rPr>
        <w:tab/>
      </w:r>
      <w:proofErr w:type="spellStart"/>
      <w:r w:rsidRPr="00E91A9D">
        <w:rPr>
          <w:lang w:val="en-GB"/>
        </w:rPr>
        <w:t>Inchley</w:t>
      </w:r>
      <w:proofErr w:type="spellEnd"/>
      <w:r w:rsidRPr="00E91A9D">
        <w:rPr>
          <w:lang w:val="en-GB"/>
        </w:rPr>
        <w:t xml:space="preserve"> J, Currie D, Young T, </w:t>
      </w:r>
      <w:proofErr w:type="spellStart"/>
      <w:r w:rsidRPr="00E91A9D">
        <w:rPr>
          <w:lang w:val="en-GB"/>
        </w:rPr>
        <w:t>Torsheim</w:t>
      </w:r>
      <w:proofErr w:type="spellEnd"/>
      <w:r w:rsidRPr="00E91A9D">
        <w:rPr>
          <w:lang w:val="en-GB"/>
        </w:rPr>
        <w:t xml:space="preserve"> T, </w:t>
      </w:r>
      <w:proofErr w:type="spellStart"/>
      <w:r w:rsidRPr="00E91A9D">
        <w:rPr>
          <w:lang w:val="en-GB"/>
        </w:rPr>
        <w:t>Augustson</w:t>
      </w:r>
      <w:proofErr w:type="spellEnd"/>
      <w:r w:rsidRPr="00E91A9D">
        <w:rPr>
          <w:lang w:val="en-GB"/>
        </w:rPr>
        <w:t xml:space="preserve"> L, </w:t>
      </w:r>
      <w:proofErr w:type="spellStart"/>
      <w:r w:rsidRPr="00E91A9D">
        <w:rPr>
          <w:lang w:val="en-GB"/>
        </w:rPr>
        <w:t>Mathison</w:t>
      </w:r>
      <w:proofErr w:type="spellEnd"/>
      <w:r w:rsidRPr="00E91A9D">
        <w:rPr>
          <w:lang w:val="en-GB"/>
        </w:rPr>
        <w:t xml:space="preserve"> F, editors. Health behaviour in school-aged children (HBSC) study: International Report from the 2013/2014 survey. Copenhagen: WHO Regional Office for Europe; 2016. </w:t>
      </w:r>
    </w:p>
    <w:p w14:paraId="75FDBFFF" w14:textId="77777777" w:rsidR="00E91A9D" w:rsidRPr="00E91A9D" w:rsidRDefault="00E91A9D" w:rsidP="00E91A9D">
      <w:pPr>
        <w:pStyle w:val="Literaturverzeichnis"/>
        <w:rPr>
          <w:lang w:val="en-GB"/>
        </w:rPr>
      </w:pPr>
      <w:r w:rsidRPr="00E91A9D">
        <w:rPr>
          <w:lang w:val="en-GB"/>
        </w:rPr>
        <w:t xml:space="preserve">27. </w:t>
      </w:r>
      <w:r w:rsidRPr="00E91A9D">
        <w:rPr>
          <w:lang w:val="en-GB"/>
        </w:rPr>
        <w:tab/>
        <w:t xml:space="preserve">Collins RL, Parks GA, </w:t>
      </w:r>
      <w:proofErr w:type="spellStart"/>
      <w:r w:rsidRPr="00E91A9D">
        <w:rPr>
          <w:lang w:val="en-GB"/>
        </w:rPr>
        <w:t>Marlatt</w:t>
      </w:r>
      <w:proofErr w:type="spellEnd"/>
      <w:r w:rsidRPr="00E91A9D">
        <w:rPr>
          <w:lang w:val="en-GB"/>
        </w:rPr>
        <w:t xml:space="preserve"> GA. Social determinants of alcohol consumption: The effects of social interaction and model status on the self-administration of alcohol. J Consult </w:t>
      </w:r>
      <w:proofErr w:type="spellStart"/>
      <w:r w:rsidRPr="00E91A9D">
        <w:rPr>
          <w:lang w:val="en-GB"/>
        </w:rPr>
        <w:t>Clin</w:t>
      </w:r>
      <w:proofErr w:type="spellEnd"/>
      <w:r w:rsidRPr="00E91A9D">
        <w:rPr>
          <w:lang w:val="en-GB"/>
        </w:rPr>
        <w:t xml:space="preserve"> </w:t>
      </w:r>
      <w:proofErr w:type="spellStart"/>
      <w:r w:rsidRPr="00E91A9D">
        <w:rPr>
          <w:lang w:val="en-GB"/>
        </w:rPr>
        <w:t>Psychol</w:t>
      </w:r>
      <w:proofErr w:type="spellEnd"/>
      <w:r w:rsidRPr="00E91A9D">
        <w:rPr>
          <w:lang w:val="en-GB"/>
        </w:rPr>
        <w:t xml:space="preserve"> 1985</w:t>
      </w:r>
      <w:proofErr w:type="gramStart"/>
      <w:r w:rsidRPr="00E91A9D">
        <w:rPr>
          <w:lang w:val="en-GB"/>
        </w:rPr>
        <w:t>;53</w:t>
      </w:r>
      <w:proofErr w:type="gramEnd"/>
      <w:r w:rsidRPr="00E91A9D">
        <w:rPr>
          <w:lang w:val="en-GB"/>
        </w:rPr>
        <w:t>(2):189–200. PMID: 3998247</w:t>
      </w:r>
    </w:p>
    <w:p w14:paraId="22BB87DC" w14:textId="77777777" w:rsidR="00E91A9D" w:rsidRPr="00E91A9D" w:rsidRDefault="00E91A9D" w:rsidP="00E91A9D">
      <w:pPr>
        <w:pStyle w:val="Literaturverzeichnis"/>
        <w:rPr>
          <w:lang w:val="en-GB"/>
        </w:rPr>
      </w:pPr>
      <w:r w:rsidRPr="00E91A9D">
        <w:rPr>
          <w:lang w:val="en-GB"/>
        </w:rPr>
        <w:t xml:space="preserve">28. </w:t>
      </w:r>
      <w:r w:rsidRPr="00E91A9D">
        <w:rPr>
          <w:lang w:val="en-GB"/>
        </w:rPr>
        <w:tab/>
      </w:r>
      <w:proofErr w:type="spellStart"/>
      <w:r w:rsidRPr="00E91A9D">
        <w:rPr>
          <w:lang w:val="en-GB"/>
        </w:rPr>
        <w:t>Gabadinho</w:t>
      </w:r>
      <w:proofErr w:type="spellEnd"/>
      <w:r w:rsidRPr="00E91A9D">
        <w:rPr>
          <w:lang w:val="en-GB"/>
        </w:rPr>
        <w:t xml:space="preserve"> A, </w:t>
      </w:r>
      <w:proofErr w:type="spellStart"/>
      <w:r w:rsidRPr="00E91A9D">
        <w:rPr>
          <w:lang w:val="en-GB"/>
        </w:rPr>
        <w:t>Ritschard</w:t>
      </w:r>
      <w:proofErr w:type="spellEnd"/>
      <w:r w:rsidRPr="00E91A9D">
        <w:rPr>
          <w:lang w:val="en-GB"/>
        </w:rPr>
        <w:t xml:space="preserve"> G, Mueller NS, </w:t>
      </w:r>
      <w:proofErr w:type="spellStart"/>
      <w:r w:rsidRPr="00E91A9D">
        <w:rPr>
          <w:lang w:val="en-GB"/>
        </w:rPr>
        <w:t>Studer</w:t>
      </w:r>
      <w:proofErr w:type="spellEnd"/>
      <w:r w:rsidRPr="00E91A9D">
        <w:rPr>
          <w:lang w:val="en-GB"/>
        </w:rPr>
        <w:t xml:space="preserve"> M. </w:t>
      </w:r>
      <w:proofErr w:type="spellStart"/>
      <w:r w:rsidRPr="00E91A9D">
        <w:rPr>
          <w:lang w:val="en-GB"/>
        </w:rPr>
        <w:t>Analyzing</w:t>
      </w:r>
      <w:proofErr w:type="spellEnd"/>
      <w:r w:rsidRPr="00E91A9D">
        <w:rPr>
          <w:lang w:val="en-GB"/>
        </w:rPr>
        <w:t xml:space="preserve"> and Visualizing State Sequences in R with </w:t>
      </w:r>
      <w:proofErr w:type="spellStart"/>
      <w:r w:rsidRPr="00E91A9D">
        <w:rPr>
          <w:lang w:val="en-GB"/>
        </w:rPr>
        <w:t>TraMineR</w:t>
      </w:r>
      <w:proofErr w:type="spellEnd"/>
      <w:r w:rsidRPr="00E91A9D">
        <w:rPr>
          <w:lang w:val="en-GB"/>
        </w:rPr>
        <w:t xml:space="preserve">. J Stat </w:t>
      </w:r>
      <w:proofErr w:type="spellStart"/>
      <w:r w:rsidRPr="00E91A9D">
        <w:rPr>
          <w:lang w:val="en-GB"/>
        </w:rPr>
        <w:t>Softw</w:t>
      </w:r>
      <w:proofErr w:type="spellEnd"/>
      <w:r w:rsidRPr="00E91A9D">
        <w:rPr>
          <w:lang w:val="en-GB"/>
        </w:rPr>
        <w:t xml:space="preserve"> 2011</w:t>
      </w:r>
      <w:proofErr w:type="gramStart"/>
      <w:r w:rsidRPr="00E91A9D">
        <w:rPr>
          <w:lang w:val="en-GB"/>
        </w:rPr>
        <w:t>;40</w:t>
      </w:r>
      <w:proofErr w:type="gramEnd"/>
      <w:r w:rsidRPr="00E91A9D">
        <w:rPr>
          <w:lang w:val="en-GB"/>
        </w:rPr>
        <w:t xml:space="preserve">(4):1–37. </w:t>
      </w:r>
    </w:p>
    <w:p w14:paraId="0F57BDE5" w14:textId="77777777" w:rsidR="00E91A9D" w:rsidRPr="00E91A9D" w:rsidRDefault="00E91A9D" w:rsidP="00E91A9D">
      <w:pPr>
        <w:pStyle w:val="Literaturverzeichnis"/>
        <w:rPr>
          <w:lang w:val="en-GB"/>
        </w:rPr>
      </w:pPr>
      <w:r w:rsidRPr="00E91A9D">
        <w:rPr>
          <w:lang w:val="en-GB"/>
        </w:rPr>
        <w:t xml:space="preserve">29. </w:t>
      </w:r>
      <w:r w:rsidRPr="00E91A9D">
        <w:rPr>
          <w:lang w:val="en-GB"/>
        </w:rPr>
        <w:tab/>
      </w:r>
      <w:proofErr w:type="spellStart"/>
      <w:r w:rsidRPr="00E91A9D">
        <w:rPr>
          <w:lang w:val="en-GB"/>
        </w:rPr>
        <w:t>Lê</w:t>
      </w:r>
      <w:proofErr w:type="spellEnd"/>
      <w:r w:rsidRPr="00E91A9D">
        <w:rPr>
          <w:lang w:val="en-GB"/>
        </w:rPr>
        <w:t xml:space="preserve"> S, </w:t>
      </w:r>
      <w:proofErr w:type="spellStart"/>
      <w:r w:rsidRPr="00E91A9D">
        <w:rPr>
          <w:lang w:val="en-GB"/>
        </w:rPr>
        <w:t>Josse</w:t>
      </w:r>
      <w:proofErr w:type="spellEnd"/>
      <w:r w:rsidRPr="00E91A9D">
        <w:rPr>
          <w:lang w:val="en-GB"/>
        </w:rPr>
        <w:t xml:space="preserve"> J, </w:t>
      </w:r>
      <w:proofErr w:type="spellStart"/>
      <w:r w:rsidRPr="00E91A9D">
        <w:rPr>
          <w:lang w:val="en-GB"/>
        </w:rPr>
        <w:t>Husson</w:t>
      </w:r>
      <w:proofErr w:type="spellEnd"/>
      <w:r w:rsidRPr="00E91A9D">
        <w:rPr>
          <w:lang w:val="en-GB"/>
        </w:rPr>
        <w:t xml:space="preserve"> F. </w:t>
      </w:r>
      <w:proofErr w:type="spellStart"/>
      <w:r w:rsidRPr="00E91A9D">
        <w:rPr>
          <w:lang w:val="en-GB"/>
        </w:rPr>
        <w:t>FactoMineR</w:t>
      </w:r>
      <w:proofErr w:type="spellEnd"/>
      <w:r w:rsidRPr="00E91A9D">
        <w:rPr>
          <w:lang w:val="en-GB"/>
        </w:rPr>
        <w:t xml:space="preserve">: an R package for multivariate analysis. J Stat </w:t>
      </w:r>
      <w:proofErr w:type="spellStart"/>
      <w:r w:rsidRPr="00E91A9D">
        <w:rPr>
          <w:lang w:val="en-GB"/>
        </w:rPr>
        <w:t>Softw</w:t>
      </w:r>
      <w:proofErr w:type="spellEnd"/>
      <w:r w:rsidRPr="00E91A9D">
        <w:rPr>
          <w:lang w:val="en-GB"/>
        </w:rPr>
        <w:t xml:space="preserve"> 2008</w:t>
      </w:r>
      <w:proofErr w:type="gramStart"/>
      <w:r w:rsidRPr="00E91A9D">
        <w:rPr>
          <w:lang w:val="en-GB"/>
        </w:rPr>
        <w:t>;25</w:t>
      </w:r>
      <w:proofErr w:type="gramEnd"/>
      <w:r w:rsidRPr="00E91A9D">
        <w:rPr>
          <w:lang w:val="en-GB"/>
        </w:rPr>
        <w:t xml:space="preserve">(1):1–18. </w:t>
      </w:r>
    </w:p>
    <w:p w14:paraId="341CABCC" w14:textId="77777777" w:rsidR="00E91A9D" w:rsidRPr="00E91A9D" w:rsidRDefault="00E91A9D" w:rsidP="00E91A9D">
      <w:pPr>
        <w:pStyle w:val="Literaturverzeichnis"/>
        <w:rPr>
          <w:lang w:val="en-GB"/>
        </w:rPr>
      </w:pPr>
      <w:r w:rsidRPr="00E91A9D">
        <w:rPr>
          <w:lang w:val="en-GB"/>
        </w:rPr>
        <w:t xml:space="preserve">30. </w:t>
      </w:r>
      <w:r w:rsidRPr="00E91A9D">
        <w:rPr>
          <w:lang w:val="en-GB"/>
        </w:rPr>
        <w:tab/>
      </w:r>
      <w:proofErr w:type="spellStart"/>
      <w:r w:rsidRPr="00E91A9D">
        <w:rPr>
          <w:lang w:val="en-GB"/>
        </w:rPr>
        <w:t>Studer</w:t>
      </w:r>
      <w:proofErr w:type="spellEnd"/>
      <w:r w:rsidRPr="00E91A9D">
        <w:rPr>
          <w:lang w:val="en-GB"/>
        </w:rPr>
        <w:t xml:space="preserve"> M. </w:t>
      </w:r>
      <w:proofErr w:type="spellStart"/>
      <w:r w:rsidRPr="00E91A9D">
        <w:rPr>
          <w:lang w:val="en-GB"/>
        </w:rPr>
        <w:t>WeightedCluster</w:t>
      </w:r>
      <w:proofErr w:type="spellEnd"/>
      <w:r w:rsidRPr="00E91A9D">
        <w:rPr>
          <w:lang w:val="en-GB"/>
        </w:rPr>
        <w:t xml:space="preserve"> library manual: A practical guide to creating typologies of trajectories in the social sciences with R. LIVES Work Pap 2013</w:t>
      </w:r>
      <w:proofErr w:type="gramStart"/>
      <w:r w:rsidRPr="00E91A9D">
        <w:rPr>
          <w:lang w:val="en-GB"/>
        </w:rPr>
        <w:t>;24:1</w:t>
      </w:r>
      <w:proofErr w:type="gramEnd"/>
      <w:r w:rsidRPr="00E91A9D">
        <w:rPr>
          <w:lang w:val="en-GB"/>
        </w:rPr>
        <w:t xml:space="preserve">–34. </w:t>
      </w:r>
    </w:p>
    <w:p w14:paraId="4AF76E07" w14:textId="77777777" w:rsidR="00E91A9D" w:rsidRPr="00E91A9D" w:rsidRDefault="00E91A9D" w:rsidP="00E91A9D">
      <w:pPr>
        <w:pStyle w:val="Literaturverzeichnis"/>
        <w:rPr>
          <w:lang w:val="en-GB"/>
        </w:rPr>
      </w:pPr>
      <w:r w:rsidRPr="00E91A9D">
        <w:rPr>
          <w:lang w:val="en-GB"/>
        </w:rPr>
        <w:t xml:space="preserve">31. </w:t>
      </w:r>
      <w:r w:rsidRPr="00E91A9D">
        <w:rPr>
          <w:lang w:val="en-GB"/>
        </w:rPr>
        <w:tab/>
        <w:t xml:space="preserve">Hosmer DW, </w:t>
      </w:r>
      <w:proofErr w:type="spellStart"/>
      <w:r w:rsidRPr="00E91A9D">
        <w:rPr>
          <w:lang w:val="en-GB"/>
        </w:rPr>
        <w:t>Lemeshow</w:t>
      </w:r>
      <w:proofErr w:type="spellEnd"/>
      <w:r w:rsidRPr="00E91A9D">
        <w:rPr>
          <w:lang w:val="en-GB"/>
        </w:rPr>
        <w:t xml:space="preserve"> S, Sturdivant RX. Applied logistic regression. John Wiley &amp; Sons; 2013. </w:t>
      </w:r>
    </w:p>
    <w:p w14:paraId="1144CFDF" w14:textId="77777777" w:rsidR="00E91A9D" w:rsidRPr="00E91A9D" w:rsidRDefault="00E91A9D" w:rsidP="00E91A9D">
      <w:pPr>
        <w:pStyle w:val="Literaturverzeichnis"/>
        <w:rPr>
          <w:lang w:val="en-GB"/>
        </w:rPr>
      </w:pPr>
      <w:r w:rsidRPr="00E91A9D">
        <w:rPr>
          <w:lang w:val="en-GB"/>
        </w:rPr>
        <w:t xml:space="preserve">32. </w:t>
      </w:r>
      <w:r w:rsidRPr="00E91A9D">
        <w:rPr>
          <w:lang w:val="en-GB"/>
        </w:rPr>
        <w:tab/>
        <w:t xml:space="preserve">Bates D, </w:t>
      </w:r>
      <w:proofErr w:type="spellStart"/>
      <w:r w:rsidRPr="00E91A9D">
        <w:rPr>
          <w:lang w:val="en-GB"/>
        </w:rPr>
        <w:t>Mächler</w:t>
      </w:r>
      <w:proofErr w:type="spellEnd"/>
      <w:r w:rsidRPr="00E91A9D">
        <w:rPr>
          <w:lang w:val="en-GB"/>
        </w:rPr>
        <w:t xml:space="preserve"> M, </w:t>
      </w:r>
      <w:proofErr w:type="spellStart"/>
      <w:r w:rsidRPr="00E91A9D">
        <w:rPr>
          <w:lang w:val="en-GB"/>
        </w:rPr>
        <w:t>Bolker</w:t>
      </w:r>
      <w:proofErr w:type="spellEnd"/>
      <w:r w:rsidRPr="00E91A9D">
        <w:rPr>
          <w:lang w:val="en-GB"/>
        </w:rPr>
        <w:t xml:space="preserve"> B, Walker S. Fitting Linear Mixed-Effects Models using lme4. J Stat </w:t>
      </w:r>
      <w:proofErr w:type="spellStart"/>
      <w:r w:rsidRPr="00E91A9D">
        <w:rPr>
          <w:lang w:val="en-GB"/>
        </w:rPr>
        <w:t>Softw</w:t>
      </w:r>
      <w:proofErr w:type="spellEnd"/>
      <w:r w:rsidRPr="00E91A9D">
        <w:rPr>
          <w:lang w:val="en-GB"/>
        </w:rPr>
        <w:t xml:space="preserve"> [Internet] 2014 Jun 23 [cited 2015 Dec 16]; Available from: http://arxiv.org/abs/1406.5823</w:t>
      </w:r>
    </w:p>
    <w:p w14:paraId="17E762E0" w14:textId="77777777" w:rsidR="00E91A9D" w:rsidRPr="00E91A9D" w:rsidRDefault="00E91A9D" w:rsidP="00E91A9D">
      <w:pPr>
        <w:pStyle w:val="Literaturverzeichnis"/>
        <w:rPr>
          <w:lang w:val="en-GB"/>
        </w:rPr>
      </w:pPr>
      <w:r w:rsidRPr="00E91A9D">
        <w:rPr>
          <w:lang w:val="en-GB"/>
        </w:rPr>
        <w:t xml:space="preserve">33. </w:t>
      </w:r>
      <w:r w:rsidRPr="00E91A9D">
        <w:rPr>
          <w:lang w:val="en-GB"/>
        </w:rPr>
        <w:tab/>
        <w:t xml:space="preserve">Ames SC, </w:t>
      </w:r>
      <w:proofErr w:type="spellStart"/>
      <w:r w:rsidRPr="00E91A9D">
        <w:rPr>
          <w:lang w:val="en-GB"/>
        </w:rPr>
        <w:t>Werch</w:t>
      </w:r>
      <w:proofErr w:type="spellEnd"/>
      <w:r w:rsidRPr="00E91A9D">
        <w:rPr>
          <w:lang w:val="en-GB"/>
        </w:rPr>
        <w:t xml:space="preserve"> CE, Ames GE, Lange LJ, Schroeder DR, Hanson AC, </w:t>
      </w:r>
      <w:proofErr w:type="gramStart"/>
      <w:r w:rsidRPr="00E91A9D">
        <w:rPr>
          <w:lang w:val="en-GB"/>
        </w:rPr>
        <w:t>et</w:t>
      </w:r>
      <w:proofErr w:type="gramEnd"/>
      <w:r w:rsidRPr="00E91A9D">
        <w:rPr>
          <w:lang w:val="en-GB"/>
        </w:rPr>
        <w:t xml:space="preserve"> al. Integrated Smoking Cessation and Binge Drinking Intervention for Young Adults: a Pilot Investigation. Ann </w:t>
      </w:r>
      <w:proofErr w:type="spellStart"/>
      <w:r w:rsidRPr="00E91A9D">
        <w:rPr>
          <w:lang w:val="en-GB"/>
        </w:rPr>
        <w:t>Behav</w:t>
      </w:r>
      <w:proofErr w:type="spellEnd"/>
      <w:r w:rsidRPr="00E91A9D">
        <w:rPr>
          <w:lang w:val="en-GB"/>
        </w:rPr>
        <w:t xml:space="preserve"> Med 2010 Aug 21</w:t>
      </w:r>
      <w:proofErr w:type="gramStart"/>
      <w:r w:rsidRPr="00E91A9D">
        <w:rPr>
          <w:lang w:val="en-GB"/>
        </w:rPr>
        <w:t>;40</w:t>
      </w:r>
      <w:proofErr w:type="gramEnd"/>
      <w:r w:rsidRPr="00E91A9D">
        <w:rPr>
          <w:lang w:val="en-GB"/>
        </w:rPr>
        <w:t>(3):343–349. PMID: 20730517</w:t>
      </w:r>
    </w:p>
    <w:p w14:paraId="22C8DC15" w14:textId="77777777" w:rsidR="00E91A9D" w:rsidRPr="00E91A9D" w:rsidRDefault="00E91A9D" w:rsidP="00E91A9D">
      <w:pPr>
        <w:pStyle w:val="Literaturverzeichnis"/>
        <w:rPr>
          <w:lang w:val="en-GB"/>
        </w:rPr>
      </w:pPr>
      <w:r w:rsidRPr="00E91A9D">
        <w:rPr>
          <w:lang w:val="en-GB"/>
        </w:rPr>
        <w:t xml:space="preserve">34. </w:t>
      </w:r>
      <w:r w:rsidRPr="00E91A9D">
        <w:rPr>
          <w:lang w:val="en-GB"/>
        </w:rPr>
        <w:tab/>
        <w:t xml:space="preserve">Ames SC, </w:t>
      </w:r>
      <w:proofErr w:type="spellStart"/>
      <w:r w:rsidRPr="00E91A9D">
        <w:rPr>
          <w:lang w:val="en-GB"/>
        </w:rPr>
        <w:t>Pokorny</w:t>
      </w:r>
      <w:proofErr w:type="spellEnd"/>
      <w:r w:rsidRPr="00E91A9D">
        <w:rPr>
          <w:lang w:val="en-GB"/>
        </w:rPr>
        <w:t xml:space="preserve"> SB, Schroeder DR, Tan W, </w:t>
      </w:r>
      <w:proofErr w:type="spellStart"/>
      <w:r w:rsidRPr="00E91A9D">
        <w:rPr>
          <w:lang w:val="en-GB"/>
        </w:rPr>
        <w:t>Werch</w:t>
      </w:r>
      <w:proofErr w:type="spellEnd"/>
      <w:r w:rsidRPr="00E91A9D">
        <w:rPr>
          <w:lang w:val="en-GB"/>
        </w:rPr>
        <w:t xml:space="preserve"> CE. Integrated smoking cessation and binge drinking intervention for young adults: A pilot efficacy trial. Addict </w:t>
      </w:r>
      <w:proofErr w:type="spellStart"/>
      <w:r w:rsidRPr="00E91A9D">
        <w:rPr>
          <w:lang w:val="en-GB"/>
        </w:rPr>
        <w:t>Behav</w:t>
      </w:r>
      <w:proofErr w:type="spellEnd"/>
      <w:r w:rsidRPr="00E91A9D">
        <w:rPr>
          <w:lang w:val="en-GB"/>
        </w:rPr>
        <w:t xml:space="preserve"> 2014 May</w:t>
      </w:r>
      <w:proofErr w:type="gramStart"/>
      <w:r w:rsidRPr="00E91A9D">
        <w:rPr>
          <w:lang w:val="en-GB"/>
        </w:rPr>
        <w:t>;39</w:t>
      </w:r>
      <w:proofErr w:type="gramEnd"/>
      <w:r w:rsidRPr="00E91A9D">
        <w:rPr>
          <w:lang w:val="en-GB"/>
        </w:rPr>
        <w:t>(5):848–853. PMID: 24583274</w:t>
      </w:r>
    </w:p>
    <w:p w14:paraId="0EAFC7A8" w14:textId="77777777" w:rsidR="00E91A9D" w:rsidRPr="00E91A9D" w:rsidRDefault="00E91A9D" w:rsidP="00E91A9D">
      <w:pPr>
        <w:pStyle w:val="Literaturverzeichnis"/>
        <w:rPr>
          <w:lang w:val="en-GB"/>
        </w:rPr>
      </w:pPr>
      <w:r w:rsidRPr="00E91A9D">
        <w:rPr>
          <w:lang w:val="en-GB"/>
        </w:rPr>
        <w:t xml:space="preserve">35. </w:t>
      </w:r>
      <w:r w:rsidRPr="00E91A9D">
        <w:rPr>
          <w:lang w:val="en-GB"/>
        </w:rPr>
        <w:tab/>
        <w:t xml:space="preserve">Paz Castro R, </w:t>
      </w:r>
      <w:proofErr w:type="spellStart"/>
      <w:r w:rsidRPr="00E91A9D">
        <w:rPr>
          <w:lang w:val="en-GB"/>
        </w:rPr>
        <w:t>Haug</w:t>
      </w:r>
      <w:proofErr w:type="spellEnd"/>
      <w:r w:rsidRPr="00E91A9D">
        <w:rPr>
          <w:lang w:val="en-GB"/>
        </w:rPr>
        <w:t xml:space="preserve"> S, </w:t>
      </w:r>
      <w:proofErr w:type="spellStart"/>
      <w:r w:rsidRPr="00E91A9D">
        <w:rPr>
          <w:lang w:val="en-GB"/>
        </w:rPr>
        <w:t>Kowatsch</w:t>
      </w:r>
      <w:proofErr w:type="spellEnd"/>
      <w:r w:rsidRPr="00E91A9D">
        <w:rPr>
          <w:lang w:val="en-GB"/>
        </w:rPr>
        <w:t xml:space="preserve"> T, Filler A, Schaub MP. Moderators of outcome in a technology-based intervention to prevent and reduce problem drinking among adolescents. Addict </w:t>
      </w:r>
      <w:proofErr w:type="spellStart"/>
      <w:r w:rsidRPr="00E91A9D">
        <w:rPr>
          <w:lang w:val="en-GB"/>
        </w:rPr>
        <w:t>Behav</w:t>
      </w:r>
      <w:proofErr w:type="spellEnd"/>
      <w:r w:rsidRPr="00E91A9D">
        <w:rPr>
          <w:lang w:val="en-GB"/>
        </w:rPr>
        <w:t xml:space="preserve"> 2017 Sep</w:t>
      </w:r>
      <w:proofErr w:type="gramStart"/>
      <w:r w:rsidRPr="00E91A9D">
        <w:rPr>
          <w:lang w:val="en-GB"/>
        </w:rPr>
        <w:t>;72:64</w:t>
      </w:r>
      <w:proofErr w:type="gramEnd"/>
      <w:r w:rsidRPr="00E91A9D">
        <w:rPr>
          <w:lang w:val="en-GB"/>
        </w:rPr>
        <w:t>–71. PMID: 28371696</w:t>
      </w:r>
    </w:p>
    <w:p w14:paraId="088B2A16" w14:textId="77777777" w:rsidR="00E91A9D" w:rsidRPr="00E91A9D" w:rsidRDefault="00E91A9D" w:rsidP="00E91A9D">
      <w:pPr>
        <w:pStyle w:val="Literaturverzeichnis"/>
        <w:rPr>
          <w:lang w:val="en-GB"/>
        </w:rPr>
      </w:pPr>
      <w:r w:rsidRPr="00E91A9D">
        <w:rPr>
          <w:lang w:val="en-GB"/>
        </w:rPr>
        <w:t xml:space="preserve">36. </w:t>
      </w:r>
      <w:r w:rsidRPr="00E91A9D">
        <w:rPr>
          <w:lang w:val="en-GB"/>
        </w:rPr>
        <w:tab/>
        <w:t xml:space="preserve">Ryan RM, Deci EL. Self-determination theory and the facilitation of intrinsic motivation, social development, and well-being. Am </w:t>
      </w:r>
      <w:proofErr w:type="spellStart"/>
      <w:r w:rsidRPr="00E91A9D">
        <w:rPr>
          <w:lang w:val="en-GB"/>
        </w:rPr>
        <w:t>Psychol</w:t>
      </w:r>
      <w:proofErr w:type="spellEnd"/>
      <w:r w:rsidRPr="00E91A9D">
        <w:rPr>
          <w:lang w:val="en-GB"/>
        </w:rPr>
        <w:t xml:space="preserve"> 2000</w:t>
      </w:r>
      <w:proofErr w:type="gramStart"/>
      <w:r w:rsidRPr="00E91A9D">
        <w:rPr>
          <w:lang w:val="en-GB"/>
        </w:rPr>
        <w:t>;55</w:t>
      </w:r>
      <w:proofErr w:type="gramEnd"/>
      <w:r w:rsidRPr="00E91A9D">
        <w:rPr>
          <w:lang w:val="en-GB"/>
        </w:rPr>
        <w:t>(1):68. PMID: 11392867</w:t>
      </w:r>
    </w:p>
    <w:p w14:paraId="5DDA4E5B" w14:textId="77777777" w:rsidR="00E91A9D" w:rsidRPr="00E91A9D" w:rsidRDefault="00E91A9D" w:rsidP="00E91A9D">
      <w:pPr>
        <w:pStyle w:val="Literaturverzeichnis"/>
        <w:rPr>
          <w:lang w:val="en-GB"/>
        </w:rPr>
      </w:pPr>
      <w:r w:rsidRPr="00E91A9D">
        <w:rPr>
          <w:lang w:val="en-GB"/>
        </w:rPr>
        <w:t xml:space="preserve">37. </w:t>
      </w:r>
      <w:r w:rsidRPr="00E91A9D">
        <w:rPr>
          <w:lang w:val="en-GB"/>
        </w:rPr>
        <w:tab/>
        <w:t xml:space="preserve">Whitton AE, Proudfoot J, Clarke J, Birch M-R, Parker G, </w:t>
      </w:r>
      <w:proofErr w:type="spellStart"/>
      <w:r w:rsidRPr="00E91A9D">
        <w:rPr>
          <w:lang w:val="en-GB"/>
        </w:rPr>
        <w:t>Manicavasagar</w:t>
      </w:r>
      <w:proofErr w:type="spellEnd"/>
      <w:r w:rsidRPr="00E91A9D">
        <w:rPr>
          <w:lang w:val="en-GB"/>
        </w:rPr>
        <w:t xml:space="preserve"> V, et al. Breaking Open the Black Box: Isolating the Most Potent Features of a Web and Mobile Phone-Based Intervention for Depression, Anxiety, and Stress. JMIR </w:t>
      </w:r>
      <w:proofErr w:type="spellStart"/>
      <w:r w:rsidRPr="00E91A9D">
        <w:rPr>
          <w:lang w:val="en-GB"/>
        </w:rPr>
        <w:t>Ment</w:t>
      </w:r>
      <w:proofErr w:type="spellEnd"/>
      <w:r w:rsidRPr="00E91A9D">
        <w:rPr>
          <w:lang w:val="en-GB"/>
        </w:rPr>
        <w:t xml:space="preserve"> Health 2015 Mar</w:t>
      </w:r>
      <w:proofErr w:type="gramStart"/>
      <w:r w:rsidRPr="00E91A9D">
        <w:rPr>
          <w:lang w:val="en-GB"/>
        </w:rPr>
        <w:t>;2</w:t>
      </w:r>
      <w:proofErr w:type="gramEnd"/>
      <w:r w:rsidRPr="00E91A9D">
        <w:rPr>
          <w:lang w:val="en-GB"/>
        </w:rPr>
        <w:t>(1):e3. PMID: 26543909</w:t>
      </w:r>
    </w:p>
    <w:p w14:paraId="1AFCD406" w14:textId="40100DFC" w:rsidR="003C6B16" w:rsidRDefault="003C6B16" w:rsidP="007F0017">
      <w:pPr>
        <w:pStyle w:val="Literaturverzeichnis"/>
        <w:rPr>
          <w:lang w:val="en-GB"/>
        </w:rPr>
      </w:pPr>
    </w:p>
    <w:p w14:paraId="705EB149" w14:textId="77777777" w:rsidR="00B77E5A" w:rsidRDefault="00B77E5A">
      <w:pPr>
        <w:rPr>
          <w:lang w:val="en-GB"/>
        </w:rPr>
      </w:pPr>
    </w:p>
    <w:sectPr w:rsidR="00B77E5A" w:rsidSect="00197DF4">
      <w:footerReference w:type="default" r:id="rId1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8F09" w14:textId="77777777" w:rsidR="001F7C77" w:rsidRDefault="001F7C77">
      <w:r>
        <w:separator/>
      </w:r>
    </w:p>
  </w:endnote>
  <w:endnote w:type="continuationSeparator" w:id="0">
    <w:p w14:paraId="5E5AFC90" w14:textId="77777777" w:rsidR="001F7C77" w:rsidRDefault="001F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932858"/>
      <w:docPartObj>
        <w:docPartGallery w:val="Page Numbers (Bottom of Page)"/>
        <w:docPartUnique/>
      </w:docPartObj>
    </w:sdtPr>
    <w:sdtEndPr/>
    <w:sdtContent>
      <w:p w14:paraId="30C6BF1C" w14:textId="77777777" w:rsidR="00786017" w:rsidRDefault="00786017">
        <w:pPr>
          <w:pStyle w:val="Fuzeile"/>
          <w:jc w:val="right"/>
        </w:pPr>
        <w:r>
          <w:fldChar w:fldCharType="begin"/>
        </w:r>
        <w:r>
          <w:instrText xml:space="preserve"> PAGE   \* MERGEFORMAT </w:instrText>
        </w:r>
        <w:r>
          <w:fldChar w:fldCharType="separate"/>
        </w:r>
        <w:r w:rsidR="001B4562">
          <w:rPr>
            <w:noProof/>
          </w:rPr>
          <w:t>21</w:t>
        </w:r>
        <w:r>
          <w:rPr>
            <w:noProof/>
          </w:rPr>
          <w:fldChar w:fldCharType="end"/>
        </w:r>
      </w:p>
    </w:sdtContent>
  </w:sdt>
  <w:p w14:paraId="539E71B5" w14:textId="77777777" w:rsidR="00786017" w:rsidRDefault="007860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66566"/>
      <w:docPartObj>
        <w:docPartGallery w:val="Page Numbers (Bottom of Page)"/>
        <w:docPartUnique/>
      </w:docPartObj>
    </w:sdtPr>
    <w:sdtEndPr/>
    <w:sdtContent>
      <w:p w14:paraId="5952D14B" w14:textId="77777777" w:rsidR="00786017" w:rsidRDefault="00786017">
        <w:pPr>
          <w:pStyle w:val="Fuzeile"/>
          <w:jc w:val="right"/>
        </w:pPr>
        <w:r>
          <w:fldChar w:fldCharType="begin"/>
        </w:r>
        <w:r>
          <w:instrText xml:space="preserve"> PAGE   \* MERGEFORMAT </w:instrText>
        </w:r>
        <w:r>
          <w:fldChar w:fldCharType="separate"/>
        </w:r>
        <w:r w:rsidR="007D2698">
          <w:rPr>
            <w:noProof/>
          </w:rPr>
          <w:t>25</w:t>
        </w:r>
        <w:r>
          <w:rPr>
            <w:noProof/>
          </w:rPr>
          <w:fldChar w:fldCharType="end"/>
        </w:r>
      </w:p>
    </w:sdtContent>
  </w:sdt>
  <w:p w14:paraId="593405F5" w14:textId="77777777" w:rsidR="00786017" w:rsidRDefault="007860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B7CA4" w14:textId="77777777" w:rsidR="001F7C77" w:rsidRDefault="001F7C77">
      <w:r>
        <w:separator/>
      </w:r>
    </w:p>
  </w:footnote>
  <w:footnote w:type="continuationSeparator" w:id="0">
    <w:p w14:paraId="06D011E0" w14:textId="77777777" w:rsidR="001F7C77" w:rsidRDefault="001F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020CF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527F0"/>
    <w:multiLevelType w:val="hybridMultilevel"/>
    <w:tmpl w:val="947251FC"/>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 w15:restartNumberingAfterBreak="0">
    <w:nsid w:val="04E74857"/>
    <w:multiLevelType w:val="hybridMultilevel"/>
    <w:tmpl w:val="9C4227DC"/>
    <w:lvl w:ilvl="0" w:tplc="A32ECF68">
      <w:start w:val="1"/>
      <w:numFmt w:val="decimal"/>
      <w:lvlText w:val="(%1)"/>
      <w:lvlJc w:val="left"/>
      <w:pPr>
        <w:ind w:left="720" w:hanging="360"/>
      </w:pPr>
      <w:rPr>
        <w:rFonts w:hint="default"/>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8B209A"/>
    <w:multiLevelType w:val="hybridMultilevel"/>
    <w:tmpl w:val="CF466B7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4377BD"/>
    <w:multiLevelType w:val="hybridMultilevel"/>
    <w:tmpl w:val="72709A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CAC561D"/>
    <w:multiLevelType w:val="hybridMultilevel"/>
    <w:tmpl w:val="D32A6BF0"/>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6" w15:restartNumberingAfterBreak="0">
    <w:nsid w:val="0F5564AB"/>
    <w:multiLevelType w:val="hybridMultilevel"/>
    <w:tmpl w:val="109ECC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4F0605"/>
    <w:multiLevelType w:val="hybridMultilevel"/>
    <w:tmpl w:val="531CBF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4B73B0"/>
    <w:multiLevelType w:val="hybridMultilevel"/>
    <w:tmpl w:val="BF189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235B0C"/>
    <w:multiLevelType w:val="hybridMultilevel"/>
    <w:tmpl w:val="6128D3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34C656B"/>
    <w:multiLevelType w:val="hybridMultilevel"/>
    <w:tmpl w:val="FE7EC9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4C2481"/>
    <w:multiLevelType w:val="hybridMultilevel"/>
    <w:tmpl w:val="3CFE5B7C"/>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 w15:restartNumberingAfterBreak="0">
    <w:nsid w:val="259F77BA"/>
    <w:multiLevelType w:val="hybridMultilevel"/>
    <w:tmpl w:val="6E1461C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A083556"/>
    <w:multiLevelType w:val="hybridMultilevel"/>
    <w:tmpl w:val="C942629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E7449D"/>
    <w:multiLevelType w:val="hybridMultilevel"/>
    <w:tmpl w:val="4DE6FB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B3E8A"/>
    <w:multiLevelType w:val="hybridMultilevel"/>
    <w:tmpl w:val="0AB89F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12B7EBE"/>
    <w:multiLevelType w:val="hybridMultilevel"/>
    <w:tmpl w:val="00F405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8D2A61"/>
    <w:multiLevelType w:val="hybridMultilevel"/>
    <w:tmpl w:val="81C83EFA"/>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8" w15:restartNumberingAfterBreak="0">
    <w:nsid w:val="379C2C8A"/>
    <w:multiLevelType w:val="hybridMultilevel"/>
    <w:tmpl w:val="5F6C4EBE"/>
    <w:lvl w:ilvl="0" w:tplc="61661BCC">
      <w:start w:val="1"/>
      <w:numFmt w:val="decimal"/>
      <w:lvlText w:val="(%1)"/>
      <w:lvlJc w:val="left"/>
      <w:pPr>
        <w:ind w:left="720" w:hanging="360"/>
      </w:pPr>
      <w:rPr>
        <w:rFonts w:ascii="Times New Roman" w:hAnsi="Times New Roman"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CA84BFD"/>
    <w:multiLevelType w:val="hybridMultilevel"/>
    <w:tmpl w:val="CFE05E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2311D1"/>
    <w:multiLevelType w:val="hybridMultilevel"/>
    <w:tmpl w:val="93325030"/>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1" w15:restartNumberingAfterBreak="0">
    <w:nsid w:val="43EF5D52"/>
    <w:multiLevelType w:val="hybridMultilevel"/>
    <w:tmpl w:val="A53A19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5AD42FD"/>
    <w:multiLevelType w:val="hybridMultilevel"/>
    <w:tmpl w:val="7F94B7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D85C09"/>
    <w:multiLevelType w:val="hybridMultilevel"/>
    <w:tmpl w:val="0E6EE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F034F55"/>
    <w:multiLevelType w:val="hybridMultilevel"/>
    <w:tmpl w:val="3B4059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902C8C"/>
    <w:multiLevelType w:val="hybridMultilevel"/>
    <w:tmpl w:val="1F86BF02"/>
    <w:lvl w:ilvl="0" w:tplc="98A0B2A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48F133C"/>
    <w:multiLevelType w:val="hybridMultilevel"/>
    <w:tmpl w:val="AA10A418"/>
    <w:lvl w:ilvl="0" w:tplc="0E263D5E">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C28081F"/>
    <w:multiLevelType w:val="hybridMultilevel"/>
    <w:tmpl w:val="BBCAC11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8" w15:restartNumberingAfterBreak="0">
    <w:nsid w:val="71483794"/>
    <w:multiLevelType w:val="hybridMultilevel"/>
    <w:tmpl w:val="6D249E42"/>
    <w:lvl w:ilvl="0" w:tplc="B9FEB492">
      <w:start w:val="1"/>
      <w:numFmt w:val="decimal"/>
      <w:lvlText w:val="(%1)"/>
      <w:lvlJc w:val="left"/>
      <w:pPr>
        <w:ind w:left="720" w:hanging="360"/>
      </w:pPr>
      <w:rPr>
        <w:rFonts w:ascii="Times New Roman" w:hAnsi="Times New Roman" w:cs="Times New Roman" w:hint="default"/>
        <w:lang w:val="en-G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41D5B58"/>
    <w:multiLevelType w:val="hybridMultilevel"/>
    <w:tmpl w:val="BCA233D4"/>
    <w:lvl w:ilvl="0" w:tplc="61661BCC">
      <w:start w:val="1"/>
      <w:numFmt w:val="decimal"/>
      <w:lvlText w:val="(%1)"/>
      <w:lvlJc w:val="left"/>
      <w:pPr>
        <w:ind w:left="720" w:hanging="360"/>
      </w:pPr>
      <w:rPr>
        <w:rFonts w:ascii="Times New Roman" w:hAnsi="Times New Roman" w:cs="Times New Roman" w:hint="default"/>
        <w:lang w:val="en-U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80E7080"/>
    <w:multiLevelType w:val="hybridMultilevel"/>
    <w:tmpl w:val="15084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64593"/>
    <w:multiLevelType w:val="hybridMultilevel"/>
    <w:tmpl w:val="B3DC6DA2"/>
    <w:lvl w:ilvl="0" w:tplc="7890D238">
      <w:start w:val="1"/>
      <w:numFmt w:val="bullet"/>
      <w:lvlText w:val="•"/>
      <w:lvlJc w:val="left"/>
      <w:pPr>
        <w:tabs>
          <w:tab w:val="num" w:pos="720"/>
        </w:tabs>
        <w:ind w:left="720" w:hanging="360"/>
      </w:pPr>
      <w:rPr>
        <w:rFonts w:ascii="Arial" w:hAnsi="Arial" w:hint="default"/>
      </w:rPr>
    </w:lvl>
    <w:lvl w:ilvl="1" w:tplc="4AD8C0A0" w:tentative="1">
      <w:start w:val="1"/>
      <w:numFmt w:val="bullet"/>
      <w:lvlText w:val="•"/>
      <w:lvlJc w:val="left"/>
      <w:pPr>
        <w:tabs>
          <w:tab w:val="num" w:pos="1440"/>
        </w:tabs>
        <w:ind w:left="1440" w:hanging="360"/>
      </w:pPr>
      <w:rPr>
        <w:rFonts w:ascii="Arial" w:hAnsi="Arial" w:hint="default"/>
      </w:rPr>
    </w:lvl>
    <w:lvl w:ilvl="2" w:tplc="2F9E24B2" w:tentative="1">
      <w:start w:val="1"/>
      <w:numFmt w:val="bullet"/>
      <w:lvlText w:val="•"/>
      <w:lvlJc w:val="left"/>
      <w:pPr>
        <w:tabs>
          <w:tab w:val="num" w:pos="2160"/>
        </w:tabs>
        <w:ind w:left="2160" w:hanging="360"/>
      </w:pPr>
      <w:rPr>
        <w:rFonts w:ascii="Arial" w:hAnsi="Arial" w:hint="default"/>
      </w:rPr>
    </w:lvl>
    <w:lvl w:ilvl="3" w:tplc="4AF87E48" w:tentative="1">
      <w:start w:val="1"/>
      <w:numFmt w:val="bullet"/>
      <w:lvlText w:val="•"/>
      <w:lvlJc w:val="left"/>
      <w:pPr>
        <w:tabs>
          <w:tab w:val="num" w:pos="2880"/>
        </w:tabs>
        <w:ind w:left="2880" w:hanging="360"/>
      </w:pPr>
      <w:rPr>
        <w:rFonts w:ascii="Arial" w:hAnsi="Arial" w:hint="default"/>
      </w:rPr>
    </w:lvl>
    <w:lvl w:ilvl="4" w:tplc="38129100" w:tentative="1">
      <w:start w:val="1"/>
      <w:numFmt w:val="bullet"/>
      <w:lvlText w:val="•"/>
      <w:lvlJc w:val="left"/>
      <w:pPr>
        <w:tabs>
          <w:tab w:val="num" w:pos="3600"/>
        </w:tabs>
        <w:ind w:left="3600" w:hanging="360"/>
      </w:pPr>
      <w:rPr>
        <w:rFonts w:ascii="Arial" w:hAnsi="Arial" w:hint="default"/>
      </w:rPr>
    </w:lvl>
    <w:lvl w:ilvl="5" w:tplc="436634CE" w:tentative="1">
      <w:start w:val="1"/>
      <w:numFmt w:val="bullet"/>
      <w:lvlText w:val="•"/>
      <w:lvlJc w:val="left"/>
      <w:pPr>
        <w:tabs>
          <w:tab w:val="num" w:pos="4320"/>
        </w:tabs>
        <w:ind w:left="4320" w:hanging="360"/>
      </w:pPr>
      <w:rPr>
        <w:rFonts w:ascii="Arial" w:hAnsi="Arial" w:hint="default"/>
      </w:rPr>
    </w:lvl>
    <w:lvl w:ilvl="6" w:tplc="14F8D7E4" w:tentative="1">
      <w:start w:val="1"/>
      <w:numFmt w:val="bullet"/>
      <w:lvlText w:val="•"/>
      <w:lvlJc w:val="left"/>
      <w:pPr>
        <w:tabs>
          <w:tab w:val="num" w:pos="5040"/>
        </w:tabs>
        <w:ind w:left="5040" w:hanging="360"/>
      </w:pPr>
      <w:rPr>
        <w:rFonts w:ascii="Arial" w:hAnsi="Arial" w:hint="default"/>
      </w:rPr>
    </w:lvl>
    <w:lvl w:ilvl="7" w:tplc="0838A2BC" w:tentative="1">
      <w:start w:val="1"/>
      <w:numFmt w:val="bullet"/>
      <w:lvlText w:val="•"/>
      <w:lvlJc w:val="left"/>
      <w:pPr>
        <w:tabs>
          <w:tab w:val="num" w:pos="5760"/>
        </w:tabs>
        <w:ind w:left="5760" w:hanging="360"/>
      </w:pPr>
      <w:rPr>
        <w:rFonts w:ascii="Arial" w:hAnsi="Arial" w:hint="default"/>
      </w:rPr>
    </w:lvl>
    <w:lvl w:ilvl="8" w:tplc="97984D2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0"/>
  </w:num>
  <w:num w:numId="3">
    <w:abstractNumId w:val="6"/>
  </w:num>
  <w:num w:numId="4">
    <w:abstractNumId w:val="14"/>
  </w:num>
  <w:num w:numId="5">
    <w:abstractNumId w:val="2"/>
  </w:num>
  <w:num w:numId="6">
    <w:abstractNumId w:val="24"/>
  </w:num>
  <w:num w:numId="7">
    <w:abstractNumId w:val="5"/>
  </w:num>
  <w:num w:numId="8">
    <w:abstractNumId w:val="31"/>
  </w:num>
  <w:num w:numId="9">
    <w:abstractNumId w:val="29"/>
  </w:num>
  <w:num w:numId="10">
    <w:abstractNumId w:val="18"/>
  </w:num>
  <w:num w:numId="11">
    <w:abstractNumId w:val="4"/>
  </w:num>
  <w:num w:numId="12">
    <w:abstractNumId w:val="15"/>
  </w:num>
  <w:num w:numId="13">
    <w:abstractNumId w:val="7"/>
  </w:num>
  <w:num w:numId="14">
    <w:abstractNumId w:val="9"/>
  </w:num>
  <w:num w:numId="15">
    <w:abstractNumId w:val="19"/>
  </w:num>
  <w:num w:numId="16">
    <w:abstractNumId w:val="16"/>
  </w:num>
  <w:num w:numId="17">
    <w:abstractNumId w:val="13"/>
  </w:num>
  <w:num w:numId="18">
    <w:abstractNumId w:val="23"/>
  </w:num>
  <w:num w:numId="19">
    <w:abstractNumId w:val="8"/>
  </w:num>
  <w:num w:numId="20">
    <w:abstractNumId w:val="28"/>
  </w:num>
  <w:num w:numId="21">
    <w:abstractNumId w:val="3"/>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num>
  <w:num w:numId="29">
    <w:abstractNumId w:val="25"/>
  </w:num>
  <w:num w:numId="30">
    <w:abstractNumId w:val="10"/>
  </w:num>
  <w:num w:numId="31">
    <w:abstractNumId w:val="12"/>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srtdtxxd52zredfz3pseexeez2av2pxxfs&quot;&gt;Haug&lt;record-ids&gt;&lt;item&gt;1383&lt;/item&gt;&lt;item&gt;1828&lt;/item&gt;&lt;item&gt;4361&lt;/item&gt;&lt;item&gt;5070&lt;/item&gt;&lt;item&gt;6035&lt;/item&gt;&lt;item&gt;6055&lt;/item&gt;&lt;item&gt;6151&lt;/item&gt;&lt;item&gt;6264&lt;/item&gt;&lt;item&gt;6267&lt;/item&gt;&lt;item&gt;6273&lt;/item&gt;&lt;item&gt;6381&lt;/item&gt;&lt;item&gt;6382&lt;/item&gt;&lt;item&gt;6557&lt;/item&gt;&lt;item&gt;6558&lt;/item&gt;&lt;item&gt;6559&lt;/item&gt;&lt;item&gt;6560&lt;/item&gt;&lt;item&gt;7574&lt;/item&gt;&lt;item&gt;7591&lt;/item&gt;&lt;item&gt;7592&lt;/item&gt;&lt;item&gt;7622&lt;/item&gt;&lt;item&gt;7648&lt;/item&gt;&lt;item&gt;7703&lt;/item&gt;&lt;item&gt;7739&lt;/item&gt;&lt;item&gt;7748&lt;/item&gt;&lt;item&gt;7767&lt;/item&gt;&lt;item&gt;7769&lt;/item&gt;&lt;item&gt;7780&lt;/item&gt;&lt;item&gt;7784&lt;/item&gt;&lt;item&gt;7869&lt;/item&gt;&lt;item&gt;7950&lt;/item&gt;&lt;item&gt;8012&lt;/item&gt;&lt;item&gt;8041&lt;/item&gt;&lt;item&gt;8042&lt;/item&gt;&lt;item&gt;8043&lt;/item&gt;&lt;item&gt;8051&lt;/item&gt;&lt;item&gt;8156&lt;/item&gt;&lt;item&gt;8169&lt;/item&gt;&lt;item&gt;8192&lt;/item&gt;&lt;item&gt;8194&lt;/item&gt;&lt;item&gt;8195&lt;/item&gt;&lt;item&gt;8197&lt;/item&gt;&lt;item&gt;8198&lt;/item&gt;&lt;item&gt;8199&lt;/item&gt;&lt;item&gt;8200&lt;/item&gt;&lt;item&gt;8201&lt;/item&gt;&lt;item&gt;8202&lt;/item&gt;&lt;item&gt;8209&lt;/item&gt;&lt;item&gt;8210&lt;/item&gt;&lt;item&gt;8211&lt;/item&gt;&lt;item&gt;8215&lt;/item&gt;&lt;item&gt;8216&lt;/item&gt;&lt;item&gt;8217&lt;/item&gt;&lt;item&gt;8219&lt;/item&gt;&lt;item&gt;8220&lt;/item&gt;&lt;item&gt;8222&lt;/item&gt;&lt;item&gt;8223&lt;/item&gt;&lt;item&gt;8227&lt;/item&gt;&lt;item&gt;8228&lt;/item&gt;&lt;item&gt;8229&lt;/item&gt;&lt;item&gt;8251&lt;/item&gt;&lt;item&gt;8253&lt;/item&gt;&lt;item&gt;8254&lt;/item&gt;&lt;/record-ids&gt;&lt;/item&gt;&lt;/Libraries&gt;"/>
  </w:docVars>
  <w:rsids>
    <w:rsidRoot w:val="006724B6"/>
    <w:rsid w:val="0000062F"/>
    <w:rsid w:val="0000078A"/>
    <w:rsid w:val="00000A66"/>
    <w:rsid w:val="00000FD8"/>
    <w:rsid w:val="00002651"/>
    <w:rsid w:val="000029AA"/>
    <w:rsid w:val="00003394"/>
    <w:rsid w:val="00003473"/>
    <w:rsid w:val="0000583C"/>
    <w:rsid w:val="00006C47"/>
    <w:rsid w:val="00007030"/>
    <w:rsid w:val="00007A97"/>
    <w:rsid w:val="00007D0C"/>
    <w:rsid w:val="00007DC6"/>
    <w:rsid w:val="00010653"/>
    <w:rsid w:val="0001232E"/>
    <w:rsid w:val="000125C3"/>
    <w:rsid w:val="00012908"/>
    <w:rsid w:val="00012C4D"/>
    <w:rsid w:val="000137CC"/>
    <w:rsid w:val="00013B3B"/>
    <w:rsid w:val="00014370"/>
    <w:rsid w:val="00015694"/>
    <w:rsid w:val="00015DC4"/>
    <w:rsid w:val="00015DC9"/>
    <w:rsid w:val="00016179"/>
    <w:rsid w:val="000164C6"/>
    <w:rsid w:val="0001689A"/>
    <w:rsid w:val="00016BFB"/>
    <w:rsid w:val="0001779F"/>
    <w:rsid w:val="00017BF8"/>
    <w:rsid w:val="000203DA"/>
    <w:rsid w:val="000207F1"/>
    <w:rsid w:val="0002175E"/>
    <w:rsid w:val="00022001"/>
    <w:rsid w:val="0002298E"/>
    <w:rsid w:val="00023150"/>
    <w:rsid w:val="00023213"/>
    <w:rsid w:val="000238F3"/>
    <w:rsid w:val="00023CE4"/>
    <w:rsid w:val="00023E52"/>
    <w:rsid w:val="000242E9"/>
    <w:rsid w:val="000247F8"/>
    <w:rsid w:val="00025BBB"/>
    <w:rsid w:val="00026819"/>
    <w:rsid w:val="0002694C"/>
    <w:rsid w:val="00026E9D"/>
    <w:rsid w:val="000274EB"/>
    <w:rsid w:val="000275BA"/>
    <w:rsid w:val="000277FD"/>
    <w:rsid w:val="0003013C"/>
    <w:rsid w:val="000304ED"/>
    <w:rsid w:val="00031282"/>
    <w:rsid w:val="00032797"/>
    <w:rsid w:val="00032B82"/>
    <w:rsid w:val="00032F7E"/>
    <w:rsid w:val="00032FA8"/>
    <w:rsid w:val="0003312A"/>
    <w:rsid w:val="0003315A"/>
    <w:rsid w:val="000333ED"/>
    <w:rsid w:val="000339AA"/>
    <w:rsid w:val="00033AE5"/>
    <w:rsid w:val="00033CBD"/>
    <w:rsid w:val="00034BCF"/>
    <w:rsid w:val="000354B9"/>
    <w:rsid w:val="00036213"/>
    <w:rsid w:val="00036257"/>
    <w:rsid w:val="00036843"/>
    <w:rsid w:val="0003763C"/>
    <w:rsid w:val="00037D8E"/>
    <w:rsid w:val="00040BFA"/>
    <w:rsid w:val="0004105B"/>
    <w:rsid w:val="000415A2"/>
    <w:rsid w:val="000421DB"/>
    <w:rsid w:val="00042BDD"/>
    <w:rsid w:val="00043895"/>
    <w:rsid w:val="00043C63"/>
    <w:rsid w:val="00043E54"/>
    <w:rsid w:val="0004428D"/>
    <w:rsid w:val="00044BE3"/>
    <w:rsid w:val="00044BEE"/>
    <w:rsid w:val="00045531"/>
    <w:rsid w:val="00045D24"/>
    <w:rsid w:val="00045D65"/>
    <w:rsid w:val="00046356"/>
    <w:rsid w:val="00046529"/>
    <w:rsid w:val="00046E74"/>
    <w:rsid w:val="000475F3"/>
    <w:rsid w:val="00047C0E"/>
    <w:rsid w:val="00050244"/>
    <w:rsid w:val="000505BB"/>
    <w:rsid w:val="00051089"/>
    <w:rsid w:val="00051498"/>
    <w:rsid w:val="00052055"/>
    <w:rsid w:val="00052750"/>
    <w:rsid w:val="000529DF"/>
    <w:rsid w:val="00053981"/>
    <w:rsid w:val="00053E82"/>
    <w:rsid w:val="00054A49"/>
    <w:rsid w:val="0005522D"/>
    <w:rsid w:val="00055319"/>
    <w:rsid w:val="0005584E"/>
    <w:rsid w:val="00055D1A"/>
    <w:rsid w:val="00055E04"/>
    <w:rsid w:val="00056F46"/>
    <w:rsid w:val="000573FC"/>
    <w:rsid w:val="0005770C"/>
    <w:rsid w:val="00057F26"/>
    <w:rsid w:val="00057F98"/>
    <w:rsid w:val="00060543"/>
    <w:rsid w:val="000609EF"/>
    <w:rsid w:val="00060E08"/>
    <w:rsid w:val="000613F5"/>
    <w:rsid w:val="00062B35"/>
    <w:rsid w:val="00063FEE"/>
    <w:rsid w:val="00065C7D"/>
    <w:rsid w:val="000663E3"/>
    <w:rsid w:val="000667C6"/>
    <w:rsid w:val="0006681D"/>
    <w:rsid w:val="00066B0D"/>
    <w:rsid w:val="00066F66"/>
    <w:rsid w:val="000673A0"/>
    <w:rsid w:val="00070DC8"/>
    <w:rsid w:val="000713AE"/>
    <w:rsid w:val="000729F5"/>
    <w:rsid w:val="0007322D"/>
    <w:rsid w:val="0007348A"/>
    <w:rsid w:val="00073727"/>
    <w:rsid w:val="00074F36"/>
    <w:rsid w:val="00076012"/>
    <w:rsid w:val="000760FC"/>
    <w:rsid w:val="000762D8"/>
    <w:rsid w:val="000767B4"/>
    <w:rsid w:val="00076B71"/>
    <w:rsid w:val="00076F8B"/>
    <w:rsid w:val="0007729F"/>
    <w:rsid w:val="00077D3C"/>
    <w:rsid w:val="00077D6E"/>
    <w:rsid w:val="0008008D"/>
    <w:rsid w:val="00080601"/>
    <w:rsid w:val="0008135B"/>
    <w:rsid w:val="00081463"/>
    <w:rsid w:val="000814B6"/>
    <w:rsid w:val="000815C1"/>
    <w:rsid w:val="00081AE9"/>
    <w:rsid w:val="000824AD"/>
    <w:rsid w:val="000829D6"/>
    <w:rsid w:val="00083957"/>
    <w:rsid w:val="00084604"/>
    <w:rsid w:val="000849D2"/>
    <w:rsid w:val="00084B77"/>
    <w:rsid w:val="00085556"/>
    <w:rsid w:val="000858D9"/>
    <w:rsid w:val="00085C4D"/>
    <w:rsid w:val="00085EDF"/>
    <w:rsid w:val="00086C43"/>
    <w:rsid w:val="00087A2A"/>
    <w:rsid w:val="000903A0"/>
    <w:rsid w:val="00090A3E"/>
    <w:rsid w:val="00091877"/>
    <w:rsid w:val="00092534"/>
    <w:rsid w:val="0009319E"/>
    <w:rsid w:val="0009524D"/>
    <w:rsid w:val="00096146"/>
    <w:rsid w:val="00096311"/>
    <w:rsid w:val="00096581"/>
    <w:rsid w:val="00096973"/>
    <w:rsid w:val="00096E72"/>
    <w:rsid w:val="0009771D"/>
    <w:rsid w:val="00097D90"/>
    <w:rsid w:val="000A02B6"/>
    <w:rsid w:val="000A0F24"/>
    <w:rsid w:val="000A0F65"/>
    <w:rsid w:val="000A1B5F"/>
    <w:rsid w:val="000A1BC6"/>
    <w:rsid w:val="000A219C"/>
    <w:rsid w:val="000A2279"/>
    <w:rsid w:val="000A309A"/>
    <w:rsid w:val="000A3DA7"/>
    <w:rsid w:val="000A4177"/>
    <w:rsid w:val="000A4692"/>
    <w:rsid w:val="000A5D72"/>
    <w:rsid w:val="000A5E21"/>
    <w:rsid w:val="000A641B"/>
    <w:rsid w:val="000A6BC2"/>
    <w:rsid w:val="000A7D93"/>
    <w:rsid w:val="000B03F1"/>
    <w:rsid w:val="000B0E73"/>
    <w:rsid w:val="000B1112"/>
    <w:rsid w:val="000B1297"/>
    <w:rsid w:val="000B147C"/>
    <w:rsid w:val="000B165F"/>
    <w:rsid w:val="000B23A8"/>
    <w:rsid w:val="000B23C8"/>
    <w:rsid w:val="000B3150"/>
    <w:rsid w:val="000B4464"/>
    <w:rsid w:val="000B5736"/>
    <w:rsid w:val="000B5E0A"/>
    <w:rsid w:val="000B6B05"/>
    <w:rsid w:val="000B6B98"/>
    <w:rsid w:val="000B6CC8"/>
    <w:rsid w:val="000C0203"/>
    <w:rsid w:val="000C15A4"/>
    <w:rsid w:val="000C1FBA"/>
    <w:rsid w:val="000C236B"/>
    <w:rsid w:val="000C2D0C"/>
    <w:rsid w:val="000C36B0"/>
    <w:rsid w:val="000C3B81"/>
    <w:rsid w:val="000C64A2"/>
    <w:rsid w:val="000C69A0"/>
    <w:rsid w:val="000C736D"/>
    <w:rsid w:val="000C7B4C"/>
    <w:rsid w:val="000C7F4D"/>
    <w:rsid w:val="000D1461"/>
    <w:rsid w:val="000D18DD"/>
    <w:rsid w:val="000D195E"/>
    <w:rsid w:val="000D26F7"/>
    <w:rsid w:val="000D2DB5"/>
    <w:rsid w:val="000D33AA"/>
    <w:rsid w:val="000D3811"/>
    <w:rsid w:val="000D41A9"/>
    <w:rsid w:val="000D4535"/>
    <w:rsid w:val="000D4B27"/>
    <w:rsid w:val="000D4E5C"/>
    <w:rsid w:val="000D5020"/>
    <w:rsid w:val="000D6481"/>
    <w:rsid w:val="000D7BF0"/>
    <w:rsid w:val="000E08F6"/>
    <w:rsid w:val="000E10B7"/>
    <w:rsid w:val="000E1157"/>
    <w:rsid w:val="000E1EBD"/>
    <w:rsid w:val="000E208F"/>
    <w:rsid w:val="000E27D7"/>
    <w:rsid w:val="000E3826"/>
    <w:rsid w:val="000E3D90"/>
    <w:rsid w:val="000E42AF"/>
    <w:rsid w:val="000E4659"/>
    <w:rsid w:val="000E4984"/>
    <w:rsid w:val="000E5535"/>
    <w:rsid w:val="000E5824"/>
    <w:rsid w:val="000E588D"/>
    <w:rsid w:val="000E7978"/>
    <w:rsid w:val="000F176B"/>
    <w:rsid w:val="000F3300"/>
    <w:rsid w:val="000F338F"/>
    <w:rsid w:val="000F38C7"/>
    <w:rsid w:val="000F4037"/>
    <w:rsid w:val="000F43E1"/>
    <w:rsid w:val="000F45F9"/>
    <w:rsid w:val="000F6506"/>
    <w:rsid w:val="000F68E0"/>
    <w:rsid w:val="000F69ED"/>
    <w:rsid w:val="000F7137"/>
    <w:rsid w:val="000F76AD"/>
    <w:rsid w:val="000F781C"/>
    <w:rsid w:val="00100592"/>
    <w:rsid w:val="00100A50"/>
    <w:rsid w:val="00101199"/>
    <w:rsid w:val="00102900"/>
    <w:rsid w:val="001039AD"/>
    <w:rsid w:val="00103F13"/>
    <w:rsid w:val="00104413"/>
    <w:rsid w:val="001045C2"/>
    <w:rsid w:val="00104A53"/>
    <w:rsid w:val="00104E84"/>
    <w:rsid w:val="001057F2"/>
    <w:rsid w:val="00105C3D"/>
    <w:rsid w:val="0010660A"/>
    <w:rsid w:val="001067B6"/>
    <w:rsid w:val="00106AC4"/>
    <w:rsid w:val="00107300"/>
    <w:rsid w:val="00107583"/>
    <w:rsid w:val="001075B5"/>
    <w:rsid w:val="00107609"/>
    <w:rsid w:val="00107E96"/>
    <w:rsid w:val="001110C8"/>
    <w:rsid w:val="001119A9"/>
    <w:rsid w:val="00112737"/>
    <w:rsid w:val="00112878"/>
    <w:rsid w:val="00112978"/>
    <w:rsid w:val="00112C09"/>
    <w:rsid w:val="00112E21"/>
    <w:rsid w:val="00113686"/>
    <w:rsid w:val="00113749"/>
    <w:rsid w:val="001143C8"/>
    <w:rsid w:val="001147FE"/>
    <w:rsid w:val="00115C0A"/>
    <w:rsid w:val="00116418"/>
    <w:rsid w:val="00117264"/>
    <w:rsid w:val="00117A7C"/>
    <w:rsid w:val="0012025C"/>
    <w:rsid w:val="0012037B"/>
    <w:rsid w:val="00120A61"/>
    <w:rsid w:val="00120B5F"/>
    <w:rsid w:val="00120BB1"/>
    <w:rsid w:val="00120BED"/>
    <w:rsid w:val="0012347F"/>
    <w:rsid w:val="0012381B"/>
    <w:rsid w:val="0012399B"/>
    <w:rsid w:val="00126188"/>
    <w:rsid w:val="001265C6"/>
    <w:rsid w:val="00126AED"/>
    <w:rsid w:val="00126E61"/>
    <w:rsid w:val="00130D12"/>
    <w:rsid w:val="00130D1F"/>
    <w:rsid w:val="00131476"/>
    <w:rsid w:val="00131C01"/>
    <w:rsid w:val="00131D33"/>
    <w:rsid w:val="00131DBF"/>
    <w:rsid w:val="00131ECD"/>
    <w:rsid w:val="0013306E"/>
    <w:rsid w:val="00133480"/>
    <w:rsid w:val="0013358F"/>
    <w:rsid w:val="0013367C"/>
    <w:rsid w:val="001337C1"/>
    <w:rsid w:val="0013425B"/>
    <w:rsid w:val="001347DC"/>
    <w:rsid w:val="001353E9"/>
    <w:rsid w:val="0013688B"/>
    <w:rsid w:val="00136BD7"/>
    <w:rsid w:val="00137058"/>
    <w:rsid w:val="00137068"/>
    <w:rsid w:val="00137240"/>
    <w:rsid w:val="00137393"/>
    <w:rsid w:val="001373EB"/>
    <w:rsid w:val="001374D5"/>
    <w:rsid w:val="00137B85"/>
    <w:rsid w:val="001400D4"/>
    <w:rsid w:val="00140A9F"/>
    <w:rsid w:val="00141E07"/>
    <w:rsid w:val="001425DA"/>
    <w:rsid w:val="00142DB4"/>
    <w:rsid w:val="00143AE6"/>
    <w:rsid w:val="00145AFF"/>
    <w:rsid w:val="00145B0B"/>
    <w:rsid w:val="00145C1A"/>
    <w:rsid w:val="00146011"/>
    <w:rsid w:val="00146A3D"/>
    <w:rsid w:val="00146F38"/>
    <w:rsid w:val="00147296"/>
    <w:rsid w:val="00147931"/>
    <w:rsid w:val="00150124"/>
    <w:rsid w:val="00150B49"/>
    <w:rsid w:val="001517C6"/>
    <w:rsid w:val="00153946"/>
    <w:rsid w:val="00153D2A"/>
    <w:rsid w:val="001563D6"/>
    <w:rsid w:val="00156C89"/>
    <w:rsid w:val="00156C92"/>
    <w:rsid w:val="00156DB4"/>
    <w:rsid w:val="00156E58"/>
    <w:rsid w:val="00160220"/>
    <w:rsid w:val="0016097D"/>
    <w:rsid w:val="00160F98"/>
    <w:rsid w:val="00161A33"/>
    <w:rsid w:val="00162031"/>
    <w:rsid w:val="00162154"/>
    <w:rsid w:val="00162709"/>
    <w:rsid w:val="00162760"/>
    <w:rsid w:val="00162885"/>
    <w:rsid w:val="0016298B"/>
    <w:rsid w:val="00163C27"/>
    <w:rsid w:val="00163D1E"/>
    <w:rsid w:val="00163E89"/>
    <w:rsid w:val="00164462"/>
    <w:rsid w:val="00164CAD"/>
    <w:rsid w:val="00164E96"/>
    <w:rsid w:val="00165BD5"/>
    <w:rsid w:val="00165D40"/>
    <w:rsid w:val="0016610C"/>
    <w:rsid w:val="0016613E"/>
    <w:rsid w:val="001667BE"/>
    <w:rsid w:val="00166A65"/>
    <w:rsid w:val="00167961"/>
    <w:rsid w:val="0017194E"/>
    <w:rsid w:val="00171D19"/>
    <w:rsid w:val="00172291"/>
    <w:rsid w:val="00172729"/>
    <w:rsid w:val="0017380E"/>
    <w:rsid w:val="0017398C"/>
    <w:rsid w:val="00174035"/>
    <w:rsid w:val="00174425"/>
    <w:rsid w:val="0017466E"/>
    <w:rsid w:val="00174A47"/>
    <w:rsid w:val="0017576B"/>
    <w:rsid w:val="001762A7"/>
    <w:rsid w:val="001764B0"/>
    <w:rsid w:val="001773C3"/>
    <w:rsid w:val="00177BFC"/>
    <w:rsid w:val="001803A5"/>
    <w:rsid w:val="001804FD"/>
    <w:rsid w:val="00180DE3"/>
    <w:rsid w:val="0018176C"/>
    <w:rsid w:val="00181E06"/>
    <w:rsid w:val="001822C9"/>
    <w:rsid w:val="00182C6A"/>
    <w:rsid w:val="00182D85"/>
    <w:rsid w:val="00184497"/>
    <w:rsid w:val="001855E7"/>
    <w:rsid w:val="0018692D"/>
    <w:rsid w:val="00186C2C"/>
    <w:rsid w:val="00186E0C"/>
    <w:rsid w:val="00186EA8"/>
    <w:rsid w:val="001875C5"/>
    <w:rsid w:val="00187DA7"/>
    <w:rsid w:val="00190078"/>
    <w:rsid w:val="00190809"/>
    <w:rsid w:val="001922F7"/>
    <w:rsid w:val="00192D8E"/>
    <w:rsid w:val="00192D9D"/>
    <w:rsid w:val="00192E98"/>
    <w:rsid w:val="00192FCC"/>
    <w:rsid w:val="001936DC"/>
    <w:rsid w:val="001938F5"/>
    <w:rsid w:val="00194BE7"/>
    <w:rsid w:val="00195355"/>
    <w:rsid w:val="00195617"/>
    <w:rsid w:val="0019581D"/>
    <w:rsid w:val="00197714"/>
    <w:rsid w:val="00197DB3"/>
    <w:rsid w:val="00197DF4"/>
    <w:rsid w:val="001A223A"/>
    <w:rsid w:val="001A2445"/>
    <w:rsid w:val="001A244A"/>
    <w:rsid w:val="001A2FB4"/>
    <w:rsid w:val="001A335D"/>
    <w:rsid w:val="001A3684"/>
    <w:rsid w:val="001A3A45"/>
    <w:rsid w:val="001A3EE4"/>
    <w:rsid w:val="001A4005"/>
    <w:rsid w:val="001A40DA"/>
    <w:rsid w:val="001A42A8"/>
    <w:rsid w:val="001A6DEA"/>
    <w:rsid w:val="001B15EC"/>
    <w:rsid w:val="001B2CA1"/>
    <w:rsid w:val="001B2DD6"/>
    <w:rsid w:val="001B3B31"/>
    <w:rsid w:val="001B4562"/>
    <w:rsid w:val="001B478D"/>
    <w:rsid w:val="001B6DAB"/>
    <w:rsid w:val="001B7FD4"/>
    <w:rsid w:val="001C1B29"/>
    <w:rsid w:val="001C2342"/>
    <w:rsid w:val="001C3213"/>
    <w:rsid w:val="001C343C"/>
    <w:rsid w:val="001C34A4"/>
    <w:rsid w:val="001C3B4A"/>
    <w:rsid w:val="001C3EA2"/>
    <w:rsid w:val="001C5786"/>
    <w:rsid w:val="001C58B0"/>
    <w:rsid w:val="001C67B3"/>
    <w:rsid w:val="001C71C2"/>
    <w:rsid w:val="001C7A67"/>
    <w:rsid w:val="001D040C"/>
    <w:rsid w:val="001D1C87"/>
    <w:rsid w:val="001D227B"/>
    <w:rsid w:val="001D26AA"/>
    <w:rsid w:val="001D2FD0"/>
    <w:rsid w:val="001D3020"/>
    <w:rsid w:val="001D359F"/>
    <w:rsid w:val="001D38A2"/>
    <w:rsid w:val="001D411B"/>
    <w:rsid w:val="001D5B4D"/>
    <w:rsid w:val="001D5FD0"/>
    <w:rsid w:val="001D61B7"/>
    <w:rsid w:val="001D674A"/>
    <w:rsid w:val="001D7939"/>
    <w:rsid w:val="001E048F"/>
    <w:rsid w:val="001E1D6E"/>
    <w:rsid w:val="001E2394"/>
    <w:rsid w:val="001E2718"/>
    <w:rsid w:val="001E276D"/>
    <w:rsid w:val="001E306E"/>
    <w:rsid w:val="001E329C"/>
    <w:rsid w:val="001E3AB1"/>
    <w:rsid w:val="001E3E30"/>
    <w:rsid w:val="001E43B5"/>
    <w:rsid w:val="001E4F8B"/>
    <w:rsid w:val="001E5344"/>
    <w:rsid w:val="001E6748"/>
    <w:rsid w:val="001E689C"/>
    <w:rsid w:val="001E6A2D"/>
    <w:rsid w:val="001E6CBB"/>
    <w:rsid w:val="001E6DE8"/>
    <w:rsid w:val="001E6E22"/>
    <w:rsid w:val="001F0144"/>
    <w:rsid w:val="001F135B"/>
    <w:rsid w:val="001F2800"/>
    <w:rsid w:val="001F2BB4"/>
    <w:rsid w:val="001F2CE6"/>
    <w:rsid w:val="001F389C"/>
    <w:rsid w:val="001F3C3D"/>
    <w:rsid w:val="001F425B"/>
    <w:rsid w:val="001F482A"/>
    <w:rsid w:val="001F5007"/>
    <w:rsid w:val="001F5A67"/>
    <w:rsid w:val="001F5BB4"/>
    <w:rsid w:val="001F64C9"/>
    <w:rsid w:val="001F6F24"/>
    <w:rsid w:val="001F72D1"/>
    <w:rsid w:val="001F7C77"/>
    <w:rsid w:val="001F7D3E"/>
    <w:rsid w:val="002015E2"/>
    <w:rsid w:val="002021C5"/>
    <w:rsid w:val="00202238"/>
    <w:rsid w:val="00203A20"/>
    <w:rsid w:val="00204F7E"/>
    <w:rsid w:val="00207461"/>
    <w:rsid w:val="002075D8"/>
    <w:rsid w:val="00207B6B"/>
    <w:rsid w:val="00207BD6"/>
    <w:rsid w:val="00207EE0"/>
    <w:rsid w:val="002107D3"/>
    <w:rsid w:val="00210B17"/>
    <w:rsid w:val="00211318"/>
    <w:rsid w:val="002113C6"/>
    <w:rsid w:val="00211637"/>
    <w:rsid w:val="00212075"/>
    <w:rsid w:val="00213169"/>
    <w:rsid w:val="00213640"/>
    <w:rsid w:val="0021416E"/>
    <w:rsid w:val="002152AC"/>
    <w:rsid w:val="002156F7"/>
    <w:rsid w:val="00215E88"/>
    <w:rsid w:val="00216543"/>
    <w:rsid w:val="00216915"/>
    <w:rsid w:val="00216F5E"/>
    <w:rsid w:val="00216FB2"/>
    <w:rsid w:val="00217088"/>
    <w:rsid w:val="00217648"/>
    <w:rsid w:val="002176F1"/>
    <w:rsid w:val="002212EC"/>
    <w:rsid w:val="0022173C"/>
    <w:rsid w:val="0022279F"/>
    <w:rsid w:val="002227DE"/>
    <w:rsid w:val="002228D7"/>
    <w:rsid w:val="00222AA5"/>
    <w:rsid w:val="00222B86"/>
    <w:rsid w:val="0022341E"/>
    <w:rsid w:val="002243B1"/>
    <w:rsid w:val="002247D5"/>
    <w:rsid w:val="00225041"/>
    <w:rsid w:val="002258D9"/>
    <w:rsid w:val="002259F9"/>
    <w:rsid w:val="00225A2E"/>
    <w:rsid w:val="0022621E"/>
    <w:rsid w:val="00226296"/>
    <w:rsid w:val="002271BD"/>
    <w:rsid w:val="002275C2"/>
    <w:rsid w:val="00227A31"/>
    <w:rsid w:val="00227ADA"/>
    <w:rsid w:val="00230445"/>
    <w:rsid w:val="00230C98"/>
    <w:rsid w:val="00231404"/>
    <w:rsid w:val="00231475"/>
    <w:rsid w:val="00231D91"/>
    <w:rsid w:val="002322E5"/>
    <w:rsid w:val="00232578"/>
    <w:rsid w:val="002327FE"/>
    <w:rsid w:val="002332DE"/>
    <w:rsid w:val="00233438"/>
    <w:rsid w:val="00233A85"/>
    <w:rsid w:val="0023447C"/>
    <w:rsid w:val="00234574"/>
    <w:rsid w:val="002346E8"/>
    <w:rsid w:val="00234764"/>
    <w:rsid w:val="0023478F"/>
    <w:rsid w:val="00234C99"/>
    <w:rsid w:val="00236C85"/>
    <w:rsid w:val="002402C5"/>
    <w:rsid w:val="002402EF"/>
    <w:rsid w:val="002411B5"/>
    <w:rsid w:val="00241326"/>
    <w:rsid w:val="0024150F"/>
    <w:rsid w:val="002417CE"/>
    <w:rsid w:val="0024248D"/>
    <w:rsid w:val="00242A04"/>
    <w:rsid w:val="00243542"/>
    <w:rsid w:val="00243575"/>
    <w:rsid w:val="0024358E"/>
    <w:rsid w:val="00243B12"/>
    <w:rsid w:val="00243E3F"/>
    <w:rsid w:val="00244C46"/>
    <w:rsid w:val="00245DAC"/>
    <w:rsid w:val="00247F4C"/>
    <w:rsid w:val="00250512"/>
    <w:rsid w:val="00250560"/>
    <w:rsid w:val="002528F0"/>
    <w:rsid w:val="00253F1B"/>
    <w:rsid w:val="002560AD"/>
    <w:rsid w:val="002560EE"/>
    <w:rsid w:val="00256382"/>
    <w:rsid w:val="00256C63"/>
    <w:rsid w:val="002570BA"/>
    <w:rsid w:val="00257B43"/>
    <w:rsid w:val="00260271"/>
    <w:rsid w:val="002616BA"/>
    <w:rsid w:val="00264278"/>
    <w:rsid w:val="00264BDE"/>
    <w:rsid w:val="00264FC3"/>
    <w:rsid w:val="00266242"/>
    <w:rsid w:val="002664D7"/>
    <w:rsid w:val="0026658E"/>
    <w:rsid w:val="00266E82"/>
    <w:rsid w:val="00266EE5"/>
    <w:rsid w:val="00267076"/>
    <w:rsid w:val="002673FB"/>
    <w:rsid w:val="002718DC"/>
    <w:rsid w:val="00271B3B"/>
    <w:rsid w:val="002730F3"/>
    <w:rsid w:val="00274492"/>
    <w:rsid w:val="00274A72"/>
    <w:rsid w:val="00275337"/>
    <w:rsid w:val="002756AA"/>
    <w:rsid w:val="00275877"/>
    <w:rsid w:val="00275BC0"/>
    <w:rsid w:val="0027603A"/>
    <w:rsid w:val="0027637D"/>
    <w:rsid w:val="002763A6"/>
    <w:rsid w:val="00277016"/>
    <w:rsid w:val="00277BA0"/>
    <w:rsid w:val="00277FBF"/>
    <w:rsid w:val="002806AA"/>
    <w:rsid w:val="00280EB4"/>
    <w:rsid w:val="00281A46"/>
    <w:rsid w:val="00281B06"/>
    <w:rsid w:val="002840A4"/>
    <w:rsid w:val="0028470E"/>
    <w:rsid w:val="002847FD"/>
    <w:rsid w:val="002850A1"/>
    <w:rsid w:val="00286875"/>
    <w:rsid w:val="0028715D"/>
    <w:rsid w:val="0028716E"/>
    <w:rsid w:val="00287C0F"/>
    <w:rsid w:val="00287C99"/>
    <w:rsid w:val="00287E8F"/>
    <w:rsid w:val="0029098E"/>
    <w:rsid w:val="00290D21"/>
    <w:rsid w:val="0029100B"/>
    <w:rsid w:val="00291E20"/>
    <w:rsid w:val="0029257D"/>
    <w:rsid w:val="002927F9"/>
    <w:rsid w:val="0029369A"/>
    <w:rsid w:val="002939C6"/>
    <w:rsid w:val="00294B73"/>
    <w:rsid w:val="00294C87"/>
    <w:rsid w:val="00294FCA"/>
    <w:rsid w:val="002959FA"/>
    <w:rsid w:val="00295A18"/>
    <w:rsid w:val="00296447"/>
    <w:rsid w:val="00296F95"/>
    <w:rsid w:val="002970FF"/>
    <w:rsid w:val="00297CA7"/>
    <w:rsid w:val="00297E48"/>
    <w:rsid w:val="002A1763"/>
    <w:rsid w:val="002A2355"/>
    <w:rsid w:val="002A2C4E"/>
    <w:rsid w:val="002A344E"/>
    <w:rsid w:val="002A369E"/>
    <w:rsid w:val="002A51C5"/>
    <w:rsid w:val="002A6EF1"/>
    <w:rsid w:val="002A7EF6"/>
    <w:rsid w:val="002B1437"/>
    <w:rsid w:val="002B174E"/>
    <w:rsid w:val="002B1D68"/>
    <w:rsid w:val="002B2A17"/>
    <w:rsid w:val="002B4D91"/>
    <w:rsid w:val="002B537A"/>
    <w:rsid w:val="002B5815"/>
    <w:rsid w:val="002B5CBD"/>
    <w:rsid w:val="002B61FC"/>
    <w:rsid w:val="002B6303"/>
    <w:rsid w:val="002B7A00"/>
    <w:rsid w:val="002B7E41"/>
    <w:rsid w:val="002B7EB6"/>
    <w:rsid w:val="002C0635"/>
    <w:rsid w:val="002C1236"/>
    <w:rsid w:val="002C15CD"/>
    <w:rsid w:val="002C200F"/>
    <w:rsid w:val="002C29DD"/>
    <w:rsid w:val="002C2BEB"/>
    <w:rsid w:val="002C3212"/>
    <w:rsid w:val="002C3448"/>
    <w:rsid w:val="002C34B5"/>
    <w:rsid w:val="002C376E"/>
    <w:rsid w:val="002C4A11"/>
    <w:rsid w:val="002C56D5"/>
    <w:rsid w:val="002C58BE"/>
    <w:rsid w:val="002C6AB5"/>
    <w:rsid w:val="002C6B30"/>
    <w:rsid w:val="002C6C21"/>
    <w:rsid w:val="002C6E40"/>
    <w:rsid w:val="002C763B"/>
    <w:rsid w:val="002D094D"/>
    <w:rsid w:val="002D0A81"/>
    <w:rsid w:val="002D1A36"/>
    <w:rsid w:val="002D1A6B"/>
    <w:rsid w:val="002D1EF8"/>
    <w:rsid w:val="002D1FD0"/>
    <w:rsid w:val="002D284C"/>
    <w:rsid w:val="002D2E28"/>
    <w:rsid w:val="002D35A2"/>
    <w:rsid w:val="002D3762"/>
    <w:rsid w:val="002D3FA6"/>
    <w:rsid w:val="002D41C2"/>
    <w:rsid w:val="002D4366"/>
    <w:rsid w:val="002D4AA8"/>
    <w:rsid w:val="002D6AAD"/>
    <w:rsid w:val="002D6ED1"/>
    <w:rsid w:val="002D7412"/>
    <w:rsid w:val="002D7C03"/>
    <w:rsid w:val="002E05FD"/>
    <w:rsid w:val="002E0BC8"/>
    <w:rsid w:val="002E0D23"/>
    <w:rsid w:val="002E15AD"/>
    <w:rsid w:val="002E1D29"/>
    <w:rsid w:val="002E2BD8"/>
    <w:rsid w:val="002E358D"/>
    <w:rsid w:val="002E39F9"/>
    <w:rsid w:val="002E3FDA"/>
    <w:rsid w:val="002E439F"/>
    <w:rsid w:val="002E4801"/>
    <w:rsid w:val="002E4A9A"/>
    <w:rsid w:val="002E4FA7"/>
    <w:rsid w:val="002E5348"/>
    <w:rsid w:val="002E7437"/>
    <w:rsid w:val="002E748B"/>
    <w:rsid w:val="002F0BCC"/>
    <w:rsid w:val="002F116D"/>
    <w:rsid w:val="002F17D7"/>
    <w:rsid w:val="002F1E02"/>
    <w:rsid w:val="002F23AB"/>
    <w:rsid w:val="002F288C"/>
    <w:rsid w:val="002F29CB"/>
    <w:rsid w:val="002F31E6"/>
    <w:rsid w:val="002F38D4"/>
    <w:rsid w:val="002F400D"/>
    <w:rsid w:val="002F42F0"/>
    <w:rsid w:val="002F4939"/>
    <w:rsid w:val="002F49A5"/>
    <w:rsid w:val="002F5B44"/>
    <w:rsid w:val="002F5DC8"/>
    <w:rsid w:val="002F5F05"/>
    <w:rsid w:val="002F664A"/>
    <w:rsid w:val="002F7591"/>
    <w:rsid w:val="002F7F6D"/>
    <w:rsid w:val="003002F3"/>
    <w:rsid w:val="0030063A"/>
    <w:rsid w:val="003009D9"/>
    <w:rsid w:val="00300E4B"/>
    <w:rsid w:val="003011DC"/>
    <w:rsid w:val="00301FFE"/>
    <w:rsid w:val="00302D78"/>
    <w:rsid w:val="0030358A"/>
    <w:rsid w:val="0030434E"/>
    <w:rsid w:val="00305A0D"/>
    <w:rsid w:val="003060ED"/>
    <w:rsid w:val="003063D6"/>
    <w:rsid w:val="00307419"/>
    <w:rsid w:val="003103D2"/>
    <w:rsid w:val="00310674"/>
    <w:rsid w:val="00311B9C"/>
    <w:rsid w:val="00311BA8"/>
    <w:rsid w:val="0031222E"/>
    <w:rsid w:val="00312265"/>
    <w:rsid w:val="00313D8D"/>
    <w:rsid w:val="00313E16"/>
    <w:rsid w:val="003146E1"/>
    <w:rsid w:val="003154C9"/>
    <w:rsid w:val="00315726"/>
    <w:rsid w:val="00316DAC"/>
    <w:rsid w:val="0031773F"/>
    <w:rsid w:val="00317960"/>
    <w:rsid w:val="00317974"/>
    <w:rsid w:val="003200FE"/>
    <w:rsid w:val="00320178"/>
    <w:rsid w:val="00320C52"/>
    <w:rsid w:val="00321505"/>
    <w:rsid w:val="00321768"/>
    <w:rsid w:val="00321A7C"/>
    <w:rsid w:val="00321AF0"/>
    <w:rsid w:val="0032272D"/>
    <w:rsid w:val="00322848"/>
    <w:rsid w:val="003233E2"/>
    <w:rsid w:val="00323723"/>
    <w:rsid w:val="0032500D"/>
    <w:rsid w:val="003251F9"/>
    <w:rsid w:val="00325597"/>
    <w:rsid w:val="003263D4"/>
    <w:rsid w:val="00332E31"/>
    <w:rsid w:val="003334FC"/>
    <w:rsid w:val="0033384C"/>
    <w:rsid w:val="00333AED"/>
    <w:rsid w:val="00333C39"/>
    <w:rsid w:val="0033400D"/>
    <w:rsid w:val="00334D45"/>
    <w:rsid w:val="003355DD"/>
    <w:rsid w:val="00335674"/>
    <w:rsid w:val="00335DD4"/>
    <w:rsid w:val="003362F0"/>
    <w:rsid w:val="003364D8"/>
    <w:rsid w:val="0033650C"/>
    <w:rsid w:val="003367B3"/>
    <w:rsid w:val="00337651"/>
    <w:rsid w:val="00337B0B"/>
    <w:rsid w:val="00337D5F"/>
    <w:rsid w:val="00340FA6"/>
    <w:rsid w:val="00341613"/>
    <w:rsid w:val="0034173F"/>
    <w:rsid w:val="0034184B"/>
    <w:rsid w:val="00341C7B"/>
    <w:rsid w:val="00341E2E"/>
    <w:rsid w:val="00342420"/>
    <w:rsid w:val="00343674"/>
    <w:rsid w:val="003437B3"/>
    <w:rsid w:val="00343A3B"/>
    <w:rsid w:val="00343EB6"/>
    <w:rsid w:val="00345E01"/>
    <w:rsid w:val="00345F30"/>
    <w:rsid w:val="00346317"/>
    <w:rsid w:val="0034633B"/>
    <w:rsid w:val="003471ED"/>
    <w:rsid w:val="0034742F"/>
    <w:rsid w:val="00347E40"/>
    <w:rsid w:val="0035068B"/>
    <w:rsid w:val="00350CF2"/>
    <w:rsid w:val="00351DBA"/>
    <w:rsid w:val="00352A7F"/>
    <w:rsid w:val="0035319E"/>
    <w:rsid w:val="003532C8"/>
    <w:rsid w:val="00354097"/>
    <w:rsid w:val="0035438D"/>
    <w:rsid w:val="00354937"/>
    <w:rsid w:val="00354D73"/>
    <w:rsid w:val="0035514B"/>
    <w:rsid w:val="003557C1"/>
    <w:rsid w:val="00357233"/>
    <w:rsid w:val="00357963"/>
    <w:rsid w:val="00357A45"/>
    <w:rsid w:val="0036017D"/>
    <w:rsid w:val="00361277"/>
    <w:rsid w:val="00361CB7"/>
    <w:rsid w:val="00361D07"/>
    <w:rsid w:val="00362304"/>
    <w:rsid w:val="00362402"/>
    <w:rsid w:val="00362AC8"/>
    <w:rsid w:val="00363912"/>
    <w:rsid w:val="00363A10"/>
    <w:rsid w:val="0036537D"/>
    <w:rsid w:val="003661E0"/>
    <w:rsid w:val="00366B95"/>
    <w:rsid w:val="00370187"/>
    <w:rsid w:val="0037140F"/>
    <w:rsid w:val="0037265C"/>
    <w:rsid w:val="003733B9"/>
    <w:rsid w:val="0037394A"/>
    <w:rsid w:val="00373CAE"/>
    <w:rsid w:val="00374EBA"/>
    <w:rsid w:val="0037557A"/>
    <w:rsid w:val="00375A91"/>
    <w:rsid w:val="00377A52"/>
    <w:rsid w:val="00377AD7"/>
    <w:rsid w:val="003800D9"/>
    <w:rsid w:val="0038024E"/>
    <w:rsid w:val="0038059E"/>
    <w:rsid w:val="00380F3C"/>
    <w:rsid w:val="0038157D"/>
    <w:rsid w:val="00381ED3"/>
    <w:rsid w:val="00383AB9"/>
    <w:rsid w:val="003841D6"/>
    <w:rsid w:val="0038458D"/>
    <w:rsid w:val="00384EE3"/>
    <w:rsid w:val="0038597A"/>
    <w:rsid w:val="003861D2"/>
    <w:rsid w:val="003871AD"/>
    <w:rsid w:val="003874B7"/>
    <w:rsid w:val="00390103"/>
    <w:rsid w:val="00390116"/>
    <w:rsid w:val="00390123"/>
    <w:rsid w:val="003908D3"/>
    <w:rsid w:val="003912ED"/>
    <w:rsid w:val="00392BAF"/>
    <w:rsid w:val="00392D86"/>
    <w:rsid w:val="0039316F"/>
    <w:rsid w:val="00393373"/>
    <w:rsid w:val="0039363B"/>
    <w:rsid w:val="003936EA"/>
    <w:rsid w:val="00394272"/>
    <w:rsid w:val="00394D24"/>
    <w:rsid w:val="003952E1"/>
    <w:rsid w:val="00395DE4"/>
    <w:rsid w:val="00395E27"/>
    <w:rsid w:val="00396076"/>
    <w:rsid w:val="003965AC"/>
    <w:rsid w:val="00396857"/>
    <w:rsid w:val="0039771C"/>
    <w:rsid w:val="00397B2A"/>
    <w:rsid w:val="003A05EC"/>
    <w:rsid w:val="003A06C2"/>
    <w:rsid w:val="003A0B28"/>
    <w:rsid w:val="003A18E2"/>
    <w:rsid w:val="003A2260"/>
    <w:rsid w:val="003A2331"/>
    <w:rsid w:val="003A2D6F"/>
    <w:rsid w:val="003A2DBF"/>
    <w:rsid w:val="003A362E"/>
    <w:rsid w:val="003A4AED"/>
    <w:rsid w:val="003A4F99"/>
    <w:rsid w:val="003A6057"/>
    <w:rsid w:val="003A613A"/>
    <w:rsid w:val="003A66C8"/>
    <w:rsid w:val="003A6A42"/>
    <w:rsid w:val="003A7024"/>
    <w:rsid w:val="003A726D"/>
    <w:rsid w:val="003A734D"/>
    <w:rsid w:val="003B0DAB"/>
    <w:rsid w:val="003B0E3D"/>
    <w:rsid w:val="003B129D"/>
    <w:rsid w:val="003B1890"/>
    <w:rsid w:val="003B1970"/>
    <w:rsid w:val="003B1C41"/>
    <w:rsid w:val="003B2518"/>
    <w:rsid w:val="003B2924"/>
    <w:rsid w:val="003B2CB4"/>
    <w:rsid w:val="003B31E3"/>
    <w:rsid w:val="003B3362"/>
    <w:rsid w:val="003B3B13"/>
    <w:rsid w:val="003B3EBB"/>
    <w:rsid w:val="003B41F4"/>
    <w:rsid w:val="003B44C6"/>
    <w:rsid w:val="003B4A41"/>
    <w:rsid w:val="003B650F"/>
    <w:rsid w:val="003B6612"/>
    <w:rsid w:val="003B6B7E"/>
    <w:rsid w:val="003B7E6F"/>
    <w:rsid w:val="003C007E"/>
    <w:rsid w:val="003C028A"/>
    <w:rsid w:val="003C07D7"/>
    <w:rsid w:val="003C0C6B"/>
    <w:rsid w:val="003C1045"/>
    <w:rsid w:val="003C1E93"/>
    <w:rsid w:val="003C21C9"/>
    <w:rsid w:val="003C2C90"/>
    <w:rsid w:val="003C2F53"/>
    <w:rsid w:val="003C2F65"/>
    <w:rsid w:val="003C39FF"/>
    <w:rsid w:val="003C3AF8"/>
    <w:rsid w:val="003C4778"/>
    <w:rsid w:val="003C49B2"/>
    <w:rsid w:val="003C60F8"/>
    <w:rsid w:val="003C6599"/>
    <w:rsid w:val="003C684D"/>
    <w:rsid w:val="003C6B16"/>
    <w:rsid w:val="003C7100"/>
    <w:rsid w:val="003C7294"/>
    <w:rsid w:val="003C73F6"/>
    <w:rsid w:val="003C7D1E"/>
    <w:rsid w:val="003C7F98"/>
    <w:rsid w:val="003D0284"/>
    <w:rsid w:val="003D0426"/>
    <w:rsid w:val="003D0D5E"/>
    <w:rsid w:val="003D1118"/>
    <w:rsid w:val="003D2FA0"/>
    <w:rsid w:val="003D356B"/>
    <w:rsid w:val="003D3936"/>
    <w:rsid w:val="003D3BCB"/>
    <w:rsid w:val="003D3C39"/>
    <w:rsid w:val="003D4557"/>
    <w:rsid w:val="003D4635"/>
    <w:rsid w:val="003D4666"/>
    <w:rsid w:val="003D477E"/>
    <w:rsid w:val="003D48C3"/>
    <w:rsid w:val="003D4F2B"/>
    <w:rsid w:val="003D556E"/>
    <w:rsid w:val="003D5C30"/>
    <w:rsid w:val="003D5D8D"/>
    <w:rsid w:val="003D5FCA"/>
    <w:rsid w:val="003D612A"/>
    <w:rsid w:val="003D75E1"/>
    <w:rsid w:val="003D7676"/>
    <w:rsid w:val="003D7707"/>
    <w:rsid w:val="003D7AEF"/>
    <w:rsid w:val="003D7B37"/>
    <w:rsid w:val="003D7CED"/>
    <w:rsid w:val="003D7D07"/>
    <w:rsid w:val="003D7FD0"/>
    <w:rsid w:val="003E00EF"/>
    <w:rsid w:val="003E0143"/>
    <w:rsid w:val="003E053E"/>
    <w:rsid w:val="003E13FC"/>
    <w:rsid w:val="003E22AF"/>
    <w:rsid w:val="003E284E"/>
    <w:rsid w:val="003E2F10"/>
    <w:rsid w:val="003E35BA"/>
    <w:rsid w:val="003E39AE"/>
    <w:rsid w:val="003E3C36"/>
    <w:rsid w:val="003E3DB7"/>
    <w:rsid w:val="003E3F8D"/>
    <w:rsid w:val="003E424A"/>
    <w:rsid w:val="003E4271"/>
    <w:rsid w:val="003E49F2"/>
    <w:rsid w:val="003E4D10"/>
    <w:rsid w:val="003E5490"/>
    <w:rsid w:val="003E57F5"/>
    <w:rsid w:val="003E5824"/>
    <w:rsid w:val="003E5851"/>
    <w:rsid w:val="003E5CA2"/>
    <w:rsid w:val="003E64C7"/>
    <w:rsid w:val="003E6539"/>
    <w:rsid w:val="003E6680"/>
    <w:rsid w:val="003E674D"/>
    <w:rsid w:val="003E7299"/>
    <w:rsid w:val="003E7305"/>
    <w:rsid w:val="003E7854"/>
    <w:rsid w:val="003E7CBF"/>
    <w:rsid w:val="003F0077"/>
    <w:rsid w:val="003F1675"/>
    <w:rsid w:val="003F1EA2"/>
    <w:rsid w:val="003F29E8"/>
    <w:rsid w:val="003F2E35"/>
    <w:rsid w:val="003F3847"/>
    <w:rsid w:val="003F3AF3"/>
    <w:rsid w:val="003F3D39"/>
    <w:rsid w:val="003F414B"/>
    <w:rsid w:val="003F44B2"/>
    <w:rsid w:val="003F45B0"/>
    <w:rsid w:val="003F4928"/>
    <w:rsid w:val="003F4C3D"/>
    <w:rsid w:val="003F6095"/>
    <w:rsid w:val="003F6626"/>
    <w:rsid w:val="003F773B"/>
    <w:rsid w:val="003F7A4A"/>
    <w:rsid w:val="003F7C40"/>
    <w:rsid w:val="00400BB3"/>
    <w:rsid w:val="004011D0"/>
    <w:rsid w:val="00401DEF"/>
    <w:rsid w:val="00401F71"/>
    <w:rsid w:val="00402026"/>
    <w:rsid w:val="004026B1"/>
    <w:rsid w:val="0040291E"/>
    <w:rsid w:val="00402D26"/>
    <w:rsid w:val="0040340B"/>
    <w:rsid w:val="0040427E"/>
    <w:rsid w:val="004043B3"/>
    <w:rsid w:val="0040476D"/>
    <w:rsid w:val="00404EC5"/>
    <w:rsid w:val="0040519D"/>
    <w:rsid w:val="00405878"/>
    <w:rsid w:val="00406C4F"/>
    <w:rsid w:val="00407285"/>
    <w:rsid w:val="0040748F"/>
    <w:rsid w:val="00407D0F"/>
    <w:rsid w:val="00407E93"/>
    <w:rsid w:val="004104C1"/>
    <w:rsid w:val="004119EF"/>
    <w:rsid w:val="00411FA6"/>
    <w:rsid w:val="0041234B"/>
    <w:rsid w:val="00413DE4"/>
    <w:rsid w:val="00414937"/>
    <w:rsid w:val="004152FB"/>
    <w:rsid w:val="00415869"/>
    <w:rsid w:val="00415A0C"/>
    <w:rsid w:val="00415ABC"/>
    <w:rsid w:val="00415BBB"/>
    <w:rsid w:val="00415C4E"/>
    <w:rsid w:val="00415E60"/>
    <w:rsid w:val="0041651A"/>
    <w:rsid w:val="0041668B"/>
    <w:rsid w:val="004166DC"/>
    <w:rsid w:val="00416C81"/>
    <w:rsid w:val="00417F40"/>
    <w:rsid w:val="004205A4"/>
    <w:rsid w:val="00420707"/>
    <w:rsid w:val="004212ED"/>
    <w:rsid w:val="004212FB"/>
    <w:rsid w:val="004214AF"/>
    <w:rsid w:val="004219D4"/>
    <w:rsid w:val="00423528"/>
    <w:rsid w:val="0042515A"/>
    <w:rsid w:val="004254AC"/>
    <w:rsid w:val="004256C9"/>
    <w:rsid w:val="00425A48"/>
    <w:rsid w:val="00426288"/>
    <w:rsid w:val="00426AAB"/>
    <w:rsid w:val="00430311"/>
    <w:rsid w:val="00430B1B"/>
    <w:rsid w:val="00431722"/>
    <w:rsid w:val="004318E7"/>
    <w:rsid w:val="00431DB3"/>
    <w:rsid w:val="00431DD5"/>
    <w:rsid w:val="004323DE"/>
    <w:rsid w:val="004324B3"/>
    <w:rsid w:val="004334A5"/>
    <w:rsid w:val="00434393"/>
    <w:rsid w:val="00434590"/>
    <w:rsid w:val="0043493E"/>
    <w:rsid w:val="00434C76"/>
    <w:rsid w:val="004367DC"/>
    <w:rsid w:val="00436BAB"/>
    <w:rsid w:val="00436D1A"/>
    <w:rsid w:val="0043783E"/>
    <w:rsid w:val="00437E8F"/>
    <w:rsid w:val="00440A8B"/>
    <w:rsid w:val="00441346"/>
    <w:rsid w:val="00441FB2"/>
    <w:rsid w:val="0044236A"/>
    <w:rsid w:val="00443E9A"/>
    <w:rsid w:val="00444B49"/>
    <w:rsid w:val="00444CBF"/>
    <w:rsid w:val="00444CC3"/>
    <w:rsid w:val="004450AA"/>
    <w:rsid w:val="004451BB"/>
    <w:rsid w:val="004459E3"/>
    <w:rsid w:val="00445D21"/>
    <w:rsid w:val="00445D76"/>
    <w:rsid w:val="004463A9"/>
    <w:rsid w:val="00446501"/>
    <w:rsid w:val="004471CC"/>
    <w:rsid w:val="00447E60"/>
    <w:rsid w:val="004504F7"/>
    <w:rsid w:val="00450837"/>
    <w:rsid w:val="00453103"/>
    <w:rsid w:val="00453967"/>
    <w:rsid w:val="00453F2F"/>
    <w:rsid w:val="00453FFB"/>
    <w:rsid w:val="00454031"/>
    <w:rsid w:val="00454457"/>
    <w:rsid w:val="00454A29"/>
    <w:rsid w:val="004551B3"/>
    <w:rsid w:val="00455287"/>
    <w:rsid w:val="00455B6A"/>
    <w:rsid w:val="00455C23"/>
    <w:rsid w:val="004565C9"/>
    <w:rsid w:val="004572F0"/>
    <w:rsid w:val="004574BA"/>
    <w:rsid w:val="00457F6D"/>
    <w:rsid w:val="0046054C"/>
    <w:rsid w:val="00463245"/>
    <w:rsid w:val="00463417"/>
    <w:rsid w:val="004646DF"/>
    <w:rsid w:val="00464843"/>
    <w:rsid w:val="00464D99"/>
    <w:rsid w:val="004654AA"/>
    <w:rsid w:val="00465C56"/>
    <w:rsid w:val="00466378"/>
    <w:rsid w:val="004670CF"/>
    <w:rsid w:val="00467B03"/>
    <w:rsid w:val="00470200"/>
    <w:rsid w:val="0047031F"/>
    <w:rsid w:val="00470BA8"/>
    <w:rsid w:val="00471042"/>
    <w:rsid w:val="004722B6"/>
    <w:rsid w:val="00472B51"/>
    <w:rsid w:val="004739E6"/>
    <w:rsid w:val="00473B6E"/>
    <w:rsid w:val="00473D03"/>
    <w:rsid w:val="004747D4"/>
    <w:rsid w:val="00474D10"/>
    <w:rsid w:val="004750FB"/>
    <w:rsid w:val="00475869"/>
    <w:rsid w:val="00475AE7"/>
    <w:rsid w:val="00475D27"/>
    <w:rsid w:val="00476D94"/>
    <w:rsid w:val="0047714B"/>
    <w:rsid w:val="00477311"/>
    <w:rsid w:val="004776A7"/>
    <w:rsid w:val="00477EDB"/>
    <w:rsid w:val="004803A3"/>
    <w:rsid w:val="00480710"/>
    <w:rsid w:val="00480CC5"/>
    <w:rsid w:val="00481461"/>
    <w:rsid w:val="0048185F"/>
    <w:rsid w:val="004838C8"/>
    <w:rsid w:val="0048450B"/>
    <w:rsid w:val="004847D9"/>
    <w:rsid w:val="00484C77"/>
    <w:rsid w:val="00485647"/>
    <w:rsid w:val="00485DBE"/>
    <w:rsid w:val="004868BA"/>
    <w:rsid w:val="004869BC"/>
    <w:rsid w:val="00486DDD"/>
    <w:rsid w:val="00487136"/>
    <w:rsid w:val="00487EC0"/>
    <w:rsid w:val="004902C0"/>
    <w:rsid w:val="0049048D"/>
    <w:rsid w:val="00490617"/>
    <w:rsid w:val="0049064F"/>
    <w:rsid w:val="00490709"/>
    <w:rsid w:val="00490C4C"/>
    <w:rsid w:val="00492244"/>
    <w:rsid w:val="00492590"/>
    <w:rsid w:val="00492B59"/>
    <w:rsid w:val="00493343"/>
    <w:rsid w:val="00494AEA"/>
    <w:rsid w:val="00494AEB"/>
    <w:rsid w:val="004954A7"/>
    <w:rsid w:val="0049645B"/>
    <w:rsid w:val="00496663"/>
    <w:rsid w:val="004971C0"/>
    <w:rsid w:val="004A1191"/>
    <w:rsid w:val="004A1669"/>
    <w:rsid w:val="004A1AAA"/>
    <w:rsid w:val="004A20C2"/>
    <w:rsid w:val="004A25D1"/>
    <w:rsid w:val="004A268F"/>
    <w:rsid w:val="004A2983"/>
    <w:rsid w:val="004A2C80"/>
    <w:rsid w:val="004A2F4D"/>
    <w:rsid w:val="004A3C31"/>
    <w:rsid w:val="004A45BC"/>
    <w:rsid w:val="004A45E3"/>
    <w:rsid w:val="004A4D39"/>
    <w:rsid w:val="004A52F0"/>
    <w:rsid w:val="004A55C3"/>
    <w:rsid w:val="004A5B66"/>
    <w:rsid w:val="004A689F"/>
    <w:rsid w:val="004A7401"/>
    <w:rsid w:val="004A76D2"/>
    <w:rsid w:val="004A79FC"/>
    <w:rsid w:val="004B0580"/>
    <w:rsid w:val="004B0C91"/>
    <w:rsid w:val="004B0F5E"/>
    <w:rsid w:val="004B1FA2"/>
    <w:rsid w:val="004B202E"/>
    <w:rsid w:val="004B2776"/>
    <w:rsid w:val="004B2E5C"/>
    <w:rsid w:val="004B33F6"/>
    <w:rsid w:val="004B3D5B"/>
    <w:rsid w:val="004B3FAB"/>
    <w:rsid w:val="004B49FA"/>
    <w:rsid w:val="004B7594"/>
    <w:rsid w:val="004C02F3"/>
    <w:rsid w:val="004C0AEC"/>
    <w:rsid w:val="004C1817"/>
    <w:rsid w:val="004C182C"/>
    <w:rsid w:val="004C1A14"/>
    <w:rsid w:val="004C21B5"/>
    <w:rsid w:val="004C26F7"/>
    <w:rsid w:val="004C2ADC"/>
    <w:rsid w:val="004C37F7"/>
    <w:rsid w:val="004C39DF"/>
    <w:rsid w:val="004C43B4"/>
    <w:rsid w:val="004C4C17"/>
    <w:rsid w:val="004C4C33"/>
    <w:rsid w:val="004C69F9"/>
    <w:rsid w:val="004C6F5D"/>
    <w:rsid w:val="004C793D"/>
    <w:rsid w:val="004D050D"/>
    <w:rsid w:val="004D0D30"/>
    <w:rsid w:val="004D11F1"/>
    <w:rsid w:val="004D24A6"/>
    <w:rsid w:val="004D3391"/>
    <w:rsid w:val="004D5212"/>
    <w:rsid w:val="004D523D"/>
    <w:rsid w:val="004D6412"/>
    <w:rsid w:val="004D7024"/>
    <w:rsid w:val="004D79C1"/>
    <w:rsid w:val="004D7F66"/>
    <w:rsid w:val="004E0364"/>
    <w:rsid w:val="004E0B6E"/>
    <w:rsid w:val="004E0F73"/>
    <w:rsid w:val="004E2779"/>
    <w:rsid w:val="004E2CF2"/>
    <w:rsid w:val="004E4AD6"/>
    <w:rsid w:val="004E5575"/>
    <w:rsid w:val="004E67EA"/>
    <w:rsid w:val="004E691B"/>
    <w:rsid w:val="004E72C4"/>
    <w:rsid w:val="004E7B98"/>
    <w:rsid w:val="004E7F25"/>
    <w:rsid w:val="004F0875"/>
    <w:rsid w:val="004F0C24"/>
    <w:rsid w:val="004F189C"/>
    <w:rsid w:val="004F1BB6"/>
    <w:rsid w:val="004F2771"/>
    <w:rsid w:val="004F2ECF"/>
    <w:rsid w:val="004F39CA"/>
    <w:rsid w:val="004F3BED"/>
    <w:rsid w:val="004F517E"/>
    <w:rsid w:val="004F518D"/>
    <w:rsid w:val="004F55A0"/>
    <w:rsid w:val="004F573F"/>
    <w:rsid w:val="005008BD"/>
    <w:rsid w:val="005011B7"/>
    <w:rsid w:val="00502358"/>
    <w:rsid w:val="005027F0"/>
    <w:rsid w:val="00502D8A"/>
    <w:rsid w:val="00502EA5"/>
    <w:rsid w:val="0050351B"/>
    <w:rsid w:val="00504226"/>
    <w:rsid w:val="00505083"/>
    <w:rsid w:val="005059BD"/>
    <w:rsid w:val="00506676"/>
    <w:rsid w:val="00506A82"/>
    <w:rsid w:val="0050794A"/>
    <w:rsid w:val="00510A6E"/>
    <w:rsid w:val="0051147A"/>
    <w:rsid w:val="00511719"/>
    <w:rsid w:val="00513004"/>
    <w:rsid w:val="00513CAF"/>
    <w:rsid w:val="0051587E"/>
    <w:rsid w:val="00515F36"/>
    <w:rsid w:val="005165A2"/>
    <w:rsid w:val="00516A80"/>
    <w:rsid w:val="00516AB6"/>
    <w:rsid w:val="00516CF2"/>
    <w:rsid w:val="005174C5"/>
    <w:rsid w:val="005176AD"/>
    <w:rsid w:val="00517D27"/>
    <w:rsid w:val="00517ED7"/>
    <w:rsid w:val="005207A3"/>
    <w:rsid w:val="00520976"/>
    <w:rsid w:val="00520C56"/>
    <w:rsid w:val="00520CA3"/>
    <w:rsid w:val="00522734"/>
    <w:rsid w:val="00522DE1"/>
    <w:rsid w:val="00522E8D"/>
    <w:rsid w:val="0052367E"/>
    <w:rsid w:val="00524654"/>
    <w:rsid w:val="00524891"/>
    <w:rsid w:val="005248B0"/>
    <w:rsid w:val="00524C7C"/>
    <w:rsid w:val="00527138"/>
    <w:rsid w:val="0052732E"/>
    <w:rsid w:val="00527482"/>
    <w:rsid w:val="005308BF"/>
    <w:rsid w:val="0053157B"/>
    <w:rsid w:val="005318E4"/>
    <w:rsid w:val="00532325"/>
    <w:rsid w:val="00533B04"/>
    <w:rsid w:val="00534937"/>
    <w:rsid w:val="00535431"/>
    <w:rsid w:val="00535C24"/>
    <w:rsid w:val="00535C4D"/>
    <w:rsid w:val="00536589"/>
    <w:rsid w:val="005366AC"/>
    <w:rsid w:val="00536BCB"/>
    <w:rsid w:val="00536D6F"/>
    <w:rsid w:val="00541B4F"/>
    <w:rsid w:val="00541FA3"/>
    <w:rsid w:val="00543CE4"/>
    <w:rsid w:val="00544075"/>
    <w:rsid w:val="005442FA"/>
    <w:rsid w:val="005444A3"/>
    <w:rsid w:val="0054470E"/>
    <w:rsid w:val="00544DAE"/>
    <w:rsid w:val="00544E35"/>
    <w:rsid w:val="005450FE"/>
    <w:rsid w:val="0054527B"/>
    <w:rsid w:val="005455EC"/>
    <w:rsid w:val="00545EFD"/>
    <w:rsid w:val="00546D14"/>
    <w:rsid w:val="005473BA"/>
    <w:rsid w:val="00547AA3"/>
    <w:rsid w:val="00550DC4"/>
    <w:rsid w:val="00550F9E"/>
    <w:rsid w:val="0055183E"/>
    <w:rsid w:val="00552394"/>
    <w:rsid w:val="00552624"/>
    <w:rsid w:val="005527E0"/>
    <w:rsid w:val="00552C1E"/>
    <w:rsid w:val="00554B7C"/>
    <w:rsid w:val="005555B8"/>
    <w:rsid w:val="00556055"/>
    <w:rsid w:val="0055647E"/>
    <w:rsid w:val="00556558"/>
    <w:rsid w:val="005566F0"/>
    <w:rsid w:val="005572A4"/>
    <w:rsid w:val="00557818"/>
    <w:rsid w:val="00560101"/>
    <w:rsid w:val="00560408"/>
    <w:rsid w:val="0056107F"/>
    <w:rsid w:val="00561A40"/>
    <w:rsid w:val="00561FBB"/>
    <w:rsid w:val="005620CE"/>
    <w:rsid w:val="00562156"/>
    <w:rsid w:val="005627CF"/>
    <w:rsid w:val="00563F12"/>
    <w:rsid w:val="00564190"/>
    <w:rsid w:val="00565E2F"/>
    <w:rsid w:val="00566769"/>
    <w:rsid w:val="005668C6"/>
    <w:rsid w:val="00566BB6"/>
    <w:rsid w:val="00567681"/>
    <w:rsid w:val="005704C3"/>
    <w:rsid w:val="00572876"/>
    <w:rsid w:val="00572A68"/>
    <w:rsid w:val="00572C81"/>
    <w:rsid w:val="00572E05"/>
    <w:rsid w:val="00574EBC"/>
    <w:rsid w:val="005760AD"/>
    <w:rsid w:val="00576748"/>
    <w:rsid w:val="0057788C"/>
    <w:rsid w:val="00580EB2"/>
    <w:rsid w:val="00581981"/>
    <w:rsid w:val="00584280"/>
    <w:rsid w:val="005843B5"/>
    <w:rsid w:val="0058588F"/>
    <w:rsid w:val="005864B4"/>
    <w:rsid w:val="005864FD"/>
    <w:rsid w:val="00586D71"/>
    <w:rsid w:val="00587014"/>
    <w:rsid w:val="005872E1"/>
    <w:rsid w:val="0059098F"/>
    <w:rsid w:val="00592811"/>
    <w:rsid w:val="005928BF"/>
    <w:rsid w:val="00592DFB"/>
    <w:rsid w:val="00593AD2"/>
    <w:rsid w:val="00593EDC"/>
    <w:rsid w:val="005946DB"/>
    <w:rsid w:val="00596F3F"/>
    <w:rsid w:val="00597167"/>
    <w:rsid w:val="005971D0"/>
    <w:rsid w:val="005976A1"/>
    <w:rsid w:val="005976FF"/>
    <w:rsid w:val="005A028D"/>
    <w:rsid w:val="005A0C9A"/>
    <w:rsid w:val="005A29FF"/>
    <w:rsid w:val="005A2DCB"/>
    <w:rsid w:val="005A3153"/>
    <w:rsid w:val="005A3478"/>
    <w:rsid w:val="005A39C0"/>
    <w:rsid w:val="005A3F94"/>
    <w:rsid w:val="005A4B5C"/>
    <w:rsid w:val="005A4EA1"/>
    <w:rsid w:val="005A50B6"/>
    <w:rsid w:val="005A554D"/>
    <w:rsid w:val="005A59A7"/>
    <w:rsid w:val="005A5D36"/>
    <w:rsid w:val="005A5E4C"/>
    <w:rsid w:val="005A5EF3"/>
    <w:rsid w:val="005A6246"/>
    <w:rsid w:val="005A6A09"/>
    <w:rsid w:val="005A7332"/>
    <w:rsid w:val="005A7B33"/>
    <w:rsid w:val="005A7DAC"/>
    <w:rsid w:val="005A7E4E"/>
    <w:rsid w:val="005B0293"/>
    <w:rsid w:val="005B0D9B"/>
    <w:rsid w:val="005B10E9"/>
    <w:rsid w:val="005B1617"/>
    <w:rsid w:val="005B19F5"/>
    <w:rsid w:val="005B2810"/>
    <w:rsid w:val="005B38EE"/>
    <w:rsid w:val="005B3EF2"/>
    <w:rsid w:val="005B4161"/>
    <w:rsid w:val="005B50E8"/>
    <w:rsid w:val="005B5161"/>
    <w:rsid w:val="005B55FB"/>
    <w:rsid w:val="005B5D19"/>
    <w:rsid w:val="005B5E4C"/>
    <w:rsid w:val="005B5EAF"/>
    <w:rsid w:val="005B5F70"/>
    <w:rsid w:val="005B605D"/>
    <w:rsid w:val="005B6141"/>
    <w:rsid w:val="005B787E"/>
    <w:rsid w:val="005B7A75"/>
    <w:rsid w:val="005C0302"/>
    <w:rsid w:val="005C151B"/>
    <w:rsid w:val="005C18CF"/>
    <w:rsid w:val="005C1902"/>
    <w:rsid w:val="005C2133"/>
    <w:rsid w:val="005C23AD"/>
    <w:rsid w:val="005C28FE"/>
    <w:rsid w:val="005C2E4E"/>
    <w:rsid w:val="005C4565"/>
    <w:rsid w:val="005C5933"/>
    <w:rsid w:val="005C5D37"/>
    <w:rsid w:val="005C6619"/>
    <w:rsid w:val="005C68E5"/>
    <w:rsid w:val="005C6926"/>
    <w:rsid w:val="005C6A5B"/>
    <w:rsid w:val="005C6B48"/>
    <w:rsid w:val="005C6DA6"/>
    <w:rsid w:val="005C722A"/>
    <w:rsid w:val="005C7528"/>
    <w:rsid w:val="005C7AA5"/>
    <w:rsid w:val="005D0226"/>
    <w:rsid w:val="005D0D36"/>
    <w:rsid w:val="005D162E"/>
    <w:rsid w:val="005D1869"/>
    <w:rsid w:val="005D18B6"/>
    <w:rsid w:val="005D1BA4"/>
    <w:rsid w:val="005D2088"/>
    <w:rsid w:val="005D2C53"/>
    <w:rsid w:val="005D2CB3"/>
    <w:rsid w:val="005D2D8A"/>
    <w:rsid w:val="005D3789"/>
    <w:rsid w:val="005D5C8A"/>
    <w:rsid w:val="005D73EF"/>
    <w:rsid w:val="005E0650"/>
    <w:rsid w:val="005E0B63"/>
    <w:rsid w:val="005E1163"/>
    <w:rsid w:val="005E1F28"/>
    <w:rsid w:val="005E2768"/>
    <w:rsid w:val="005E2AE1"/>
    <w:rsid w:val="005E2EC1"/>
    <w:rsid w:val="005E31BA"/>
    <w:rsid w:val="005E3331"/>
    <w:rsid w:val="005E3690"/>
    <w:rsid w:val="005E41EE"/>
    <w:rsid w:val="005E4A09"/>
    <w:rsid w:val="005E4C5F"/>
    <w:rsid w:val="005E5E00"/>
    <w:rsid w:val="005E7AE9"/>
    <w:rsid w:val="005F00E8"/>
    <w:rsid w:val="005F01FE"/>
    <w:rsid w:val="005F076F"/>
    <w:rsid w:val="005F0E61"/>
    <w:rsid w:val="005F17C1"/>
    <w:rsid w:val="005F2A62"/>
    <w:rsid w:val="005F2AF7"/>
    <w:rsid w:val="005F334D"/>
    <w:rsid w:val="005F3F4B"/>
    <w:rsid w:val="005F4818"/>
    <w:rsid w:val="005F487B"/>
    <w:rsid w:val="005F51A9"/>
    <w:rsid w:val="005F635B"/>
    <w:rsid w:val="005F6643"/>
    <w:rsid w:val="005F6EDF"/>
    <w:rsid w:val="005F75B7"/>
    <w:rsid w:val="0060027F"/>
    <w:rsid w:val="00600679"/>
    <w:rsid w:val="00601452"/>
    <w:rsid w:val="006020AD"/>
    <w:rsid w:val="00602BFC"/>
    <w:rsid w:val="00603A8E"/>
    <w:rsid w:val="00604455"/>
    <w:rsid w:val="006048A4"/>
    <w:rsid w:val="0060502C"/>
    <w:rsid w:val="00605F2E"/>
    <w:rsid w:val="00607C6C"/>
    <w:rsid w:val="00610839"/>
    <w:rsid w:val="00610AEF"/>
    <w:rsid w:val="00611315"/>
    <w:rsid w:val="006114B3"/>
    <w:rsid w:val="00611EC3"/>
    <w:rsid w:val="00612426"/>
    <w:rsid w:val="00612537"/>
    <w:rsid w:val="00612A30"/>
    <w:rsid w:val="00612BF8"/>
    <w:rsid w:val="00612CFF"/>
    <w:rsid w:val="00613498"/>
    <w:rsid w:val="00614A3E"/>
    <w:rsid w:val="00614E83"/>
    <w:rsid w:val="00615CEC"/>
    <w:rsid w:val="00617BFD"/>
    <w:rsid w:val="00620563"/>
    <w:rsid w:val="006209C8"/>
    <w:rsid w:val="00620AE1"/>
    <w:rsid w:val="00621584"/>
    <w:rsid w:val="00621771"/>
    <w:rsid w:val="006221B2"/>
    <w:rsid w:val="006229BD"/>
    <w:rsid w:val="00622BAD"/>
    <w:rsid w:val="00623344"/>
    <w:rsid w:val="006235E9"/>
    <w:rsid w:val="00624E3D"/>
    <w:rsid w:val="00625D63"/>
    <w:rsid w:val="00625F5F"/>
    <w:rsid w:val="006260C6"/>
    <w:rsid w:val="00626686"/>
    <w:rsid w:val="00626AC7"/>
    <w:rsid w:val="00626D8C"/>
    <w:rsid w:val="00626E04"/>
    <w:rsid w:val="006278D5"/>
    <w:rsid w:val="00627F23"/>
    <w:rsid w:val="0063030D"/>
    <w:rsid w:val="00630BD1"/>
    <w:rsid w:val="00631BDC"/>
    <w:rsid w:val="00632EC9"/>
    <w:rsid w:val="006331B5"/>
    <w:rsid w:val="006331C5"/>
    <w:rsid w:val="006338E9"/>
    <w:rsid w:val="00633E6D"/>
    <w:rsid w:val="00633FAB"/>
    <w:rsid w:val="0063470D"/>
    <w:rsid w:val="006352E2"/>
    <w:rsid w:val="006356A9"/>
    <w:rsid w:val="006357B6"/>
    <w:rsid w:val="0063589D"/>
    <w:rsid w:val="0063592E"/>
    <w:rsid w:val="00635D72"/>
    <w:rsid w:val="006371A6"/>
    <w:rsid w:val="00637594"/>
    <w:rsid w:val="006400BA"/>
    <w:rsid w:val="0064013F"/>
    <w:rsid w:val="0064078C"/>
    <w:rsid w:val="006409AC"/>
    <w:rsid w:val="00641284"/>
    <w:rsid w:val="0064209C"/>
    <w:rsid w:val="006436A6"/>
    <w:rsid w:val="00643B3C"/>
    <w:rsid w:val="00643F5F"/>
    <w:rsid w:val="00643FBD"/>
    <w:rsid w:val="006441A1"/>
    <w:rsid w:val="00644358"/>
    <w:rsid w:val="006443F2"/>
    <w:rsid w:val="00644D47"/>
    <w:rsid w:val="00645DC2"/>
    <w:rsid w:val="00645E01"/>
    <w:rsid w:val="0064688E"/>
    <w:rsid w:val="00646BD4"/>
    <w:rsid w:val="00646F1D"/>
    <w:rsid w:val="006475DC"/>
    <w:rsid w:val="00647BC1"/>
    <w:rsid w:val="00647DE4"/>
    <w:rsid w:val="00647F7F"/>
    <w:rsid w:val="00650386"/>
    <w:rsid w:val="0065060B"/>
    <w:rsid w:val="00651428"/>
    <w:rsid w:val="00651E0F"/>
    <w:rsid w:val="006525ED"/>
    <w:rsid w:val="006536F1"/>
    <w:rsid w:val="00653EB7"/>
    <w:rsid w:val="0065477B"/>
    <w:rsid w:val="006549B7"/>
    <w:rsid w:val="00654BA1"/>
    <w:rsid w:val="00654D3A"/>
    <w:rsid w:val="00655610"/>
    <w:rsid w:val="00655847"/>
    <w:rsid w:val="006558EB"/>
    <w:rsid w:val="00656556"/>
    <w:rsid w:val="00657497"/>
    <w:rsid w:val="00657672"/>
    <w:rsid w:val="00657D33"/>
    <w:rsid w:val="00660EB7"/>
    <w:rsid w:val="00660EE4"/>
    <w:rsid w:val="00661550"/>
    <w:rsid w:val="00661CBF"/>
    <w:rsid w:val="006626D5"/>
    <w:rsid w:val="006630FA"/>
    <w:rsid w:val="00663971"/>
    <w:rsid w:val="00664CEF"/>
    <w:rsid w:val="00664FE7"/>
    <w:rsid w:val="0066510A"/>
    <w:rsid w:val="0066592A"/>
    <w:rsid w:val="00665DEC"/>
    <w:rsid w:val="00665F32"/>
    <w:rsid w:val="0066645D"/>
    <w:rsid w:val="00666669"/>
    <w:rsid w:val="00666D2D"/>
    <w:rsid w:val="00670B9C"/>
    <w:rsid w:val="00670E4E"/>
    <w:rsid w:val="00671742"/>
    <w:rsid w:val="00671918"/>
    <w:rsid w:val="00671DF1"/>
    <w:rsid w:val="006723F3"/>
    <w:rsid w:val="006724B6"/>
    <w:rsid w:val="00672DFB"/>
    <w:rsid w:val="00673472"/>
    <w:rsid w:val="0067363F"/>
    <w:rsid w:val="0067391A"/>
    <w:rsid w:val="006746DC"/>
    <w:rsid w:val="0067591C"/>
    <w:rsid w:val="00675B44"/>
    <w:rsid w:val="00676335"/>
    <w:rsid w:val="006765A6"/>
    <w:rsid w:val="006766E5"/>
    <w:rsid w:val="00676926"/>
    <w:rsid w:val="00676AEC"/>
    <w:rsid w:val="00676C25"/>
    <w:rsid w:val="00676FB5"/>
    <w:rsid w:val="006770D5"/>
    <w:rsid w:val="006772A7"/>
    <w:rsid w:val="00677DF9"/>
    <w:rsid w:val="00680077"/>
    <w:rsid w:val="00680F7F"/>
    <w:rsid w:val="00682181"/>
    <w:rsid w:val="00682406"/>
    <w:rsid w:val="00682488"/>
    <w:rsid w:val="00682FC9"/>
    <w:rsid w:val="00683B95"/>
    <w:rsid w:val="00683C35"/>
    <w:rsid w:val="006843D6"/>
    <w:rsid w:val="006847FF"/>
    <w:rsid w:val="0068539E"/>
    <w:rsid w:val="0068549F"/>
    <w:rsid w:val="006858CB"/>
    <w:rsid w:val="006861D3"/>
    <w:rsid w:val="00686712"/>
    <w:rsid w:val="00686724"/>
    <w:rsid w:val="00686787"/>
    <w:rsid w:val="00686C5C"/>
    <w:rsid w:val="0068770D"/>
    <w:rsid w:val="0068794A"/>
    <w:rsid w:val="00687D8C"/>
    <w:rsid w:val="0069242A"/>
    <w:rsid w:val="0069277D"/>
    <w:rsid w:val="00692BC1"/>
    <w:rsid w:val="00692EF2"/>
    <w:rsid w:val="00693444"/>
    <w:rsid w:val="00694005"/>
    <w:rsid w:val="006940C1"/>
    <w:rsid w:val="0069474B"/>
    <w:rsid w:val="00694B1D"/>
    <w:rsid w:val="0069510F"/>
    <w:rsid w:val="0069683E"/>
    <w:rsid w:val="00696B98"/>
    <w:rsid w:val="00696ED1"/>
    <w:rsid w:val="00696EED"/>
    <w:rsid w:val="00697178"/>
    <w:rsid w:val="00697F94"/>
    <w:rsid w:val="006A05BF"/>
    <w:rsid w:val="006A0A01"/>
    <w:rsid w:val="006A0EA4"/>
    <w:rsid w:val="006A1483"/>
    <w:rsid w:val="006A1E1A"/>
    <w:rsid w:val="006A1F8C"/>
    <w:rsid w:val="006A2223"/>
    <w:rsid w:val="006A257F"/>
    <w:rsid w:val="006A2A97"/>
    <w:rsid w:val="006A2D5C"/>
    <w:rsid w:val="006A3022"/>
    <w:rsid w:val="006A30A6"/>
    <w:rsid w:val="006A3487"/>
    <w:rsid w:val="006A4DBC"/>
    <w:rsid w:val="006A5164"/>
    <w:rsid w:val="006A6EB0"/>
    <w:rsid w:val="006A6F5C"/>
    <w:rsid w:val="006A6FB9"/>
    <w:rsid w:val="006A70C9"/>
    <w:rsid w:val="006B00D1"/>
    <w:rsid w:val="006B0A24"/>
    <w:rsid w:val="006B0D52"/>
    <w:rsid w:val="006B184D"/>
    <w:rsid w:val="006B191D"/>
    <w:rsid w:val="006B341D"/>
    <w:rsid w:val="006B3A27"/>
    <w:rsid w:val="006B3D74"/>
    <w:rsid w:val="006B48E2"/>
    <w:rsid w:val="006B4966"/>
    <w:rsid w:val="006B5EA2"/>
    <w:rsid w:val="006B6B2D"/>
    <w:rsid w:val="006B6C89"/>
    <w:rsid w:val="006B7BBB"/>
    <w:rsid w:val="006C137B"/>
    <w:rsid w:val="006C1B33"/>
    <w:rsid w:val="006C2193"/>
    <w:rsid w:val="006C25DE"/>
    <w:rsid w:val="006C265F"/>
    <w:rsid w:val="006C2AB3"/>
    <w:rsid w:val="006C346E"/>
    <w:rsid w:val="006C3BE8"/>
    <w:rsid w:val="006C3E82"/>
    <w:rsid w:val="006C4100"/>
    <w:rsid w:val="006C45B2"/>
    <w:rsid w:val="006C4F42"/>
    <w:rsid w:val="006C51E0"/>
    <w:rsid w:val="006C546C"/>
    <w:rsid w:val="006C5E44"/>
    <w:rsid w:val="006C6028"/>
    <w:rsid w:val="006C6887"/>
    <w:rsid w:val="006C74B7"/>
    <w:rsid w:val="006D06A0"/>
    <w:rsid w:val="006D0DCC"/>
    <w:rsid w:val="006D0EF4"/>
    <w:rsid w:val="006D21D8"/>
    <w:rsid w:val="006D29BD"/>
    <w:rsid w:val="006D590C"/>
    <w:rsid w:val="006D5A10"/>
    <w:rsid w:val="006D5AEF"/>
    <w:rsid w:val="006D601E"/>
    <w:rsid w:val="006D6521"/>
    <w:rsid w:val="006D65D4"/>
    <w:rsid w:val="006D6B30"/>
    <w:rsid w:val="006D73EE"/>
    <w:rsid w:val="006D7CA5"/>
    <w:rsid w:val="006D7DF6"/>
    <w:rsid w:val="006D7F5C"/>
    <w:rsid w:val="006E01DC"/>
    <w:rsid w:val="006E0496"/>
    <w:rsid w:val="006E0C49"/>
    <w:rsid w:val="006E1AA9"/>
    <w:rsid w:val="006E1D54"/>
    <w:rsid w:val="006E26EE"/>
    <w:rsid w:val="006E3672"/>
    <w:rsid w:val="006E4753"/>
    <w:rsid w:val="006E5383"/>
    <w:rsid w:val="006E6B7E"/>
    <w:rsid w:val="006E6D2F"/>
    <w:rsid w:val="006F06BE"/>
    <w:rsid w:val="006F1001"/>
    <w:rsid w:val="006F2480"/>
    <w:rsid w:val="006F2986"/>
    <w:rsid w:val="006F334A"/>
    <w:rsid w:val="006F3929"/>
    <w:rsid w:val="006F40FD"/>
    <w:rsid w:val="006F42C1"/>
    <w:rsid w:val="006F5FFB"/>
    <w:rsid w:val="006F6760"/>
    <w:rsid w:val="006F6CF3"/>
    <w:rsid w:val="006F70E9"/>
    <w:rsid w:val="006F76B1"/>
    <w:rsid w:val="006F7D03"/>
    <w:rsid w:val="0070005F"/>
    <w:rsid w:val="00700D53"/>
    <w:rsid w:val="0070159F"/>
    <w:rsid w:val="00702051"/>
    <w:rsid w:val="007022C5"/>
    <w:rsid w:val="007027C8"/>
    <w:rsid w:val="007042F0"/>
    <w:rsid w:val="00704B0E"/>
    <w:rsid w:val="00704BEC"/>
    <w:rsid w:val="007058D6"/>
    <w:rsid w:val="00706044"/>
    <w:rsid w:val="007072CC"/>
    <w:rsid w:val="0070751D"/>
    <w:rsid w:val="0071140D"/>
    <w:rsid w:val="0071145D"/>
    <w:rsid w:val="007128C5"/>
    <w:rsid w:val="00712CC5"/>
    <w:rsid w:val="0071315D"/>
    <w:rsid w:val="007134A5"/>
    <w:rsid w:val="00713855"/>
    <w:rsid w:val="00713B98"/>
    <w:rsid w:val="00714FF8"/>
    <w:rsid w:val="0071561B"/>
    <w:rsid w:val="0071570E"/>
    <w:rsid w:val="007159B8"/>
    <w:rsid w:val="007159F9"/>
    <w:rsid w:val="00715B3B"/>
    <w:rsid w:val="00716163"/>
    <w:rsid w:val="0071693E"/>
    <w:rsid w:val="00716D01"/>
    <w:rsid w:val="00716E0F"/>
    <w:rsid w:val="00720A2A"/>
    <w:rsid w:val="00721248"/>
    <w:rsid w:val="00721373"/>
    <w:rsid w:val="00721CDB"/>
    <w:rsid w:val="0072266D"/>
    <w:rsid w:val="00723874"/>
    <w:rsid w:val="00724672"/>
    <w:rsid w:val="00724B2F"/>
    <w:rsid w:val="00724F7E"/>
    <w:rsid w:val="007253EF"/>
    <w:rsid w:val="00725570"/>
    <w:rsid w:val="007265DF"/>
    <w:rsid w:val="0072662A"/>
    <w:rsid w:val="0072691C"/>
    <w:rsid w:val="00726A35"/>
    <w:rsid w:val="00727331"/>
    <w:rsid w:val="00727745"/>
    <w:rsid w:val="00727766"/>
    <w:rsid w:val="007277A9"/>
    <w:rsid w:val="00727896"/>
    <w:rsid w:val="00727B3E"/>
    <w:rsid w:val="007310C1"/>
    <w:rsid w:val="0073145A"/>
    <w:rsid w:val="007320E0"/>
    <w:rsid w:val="0073231A"/>
    <w:rsid w:val="00732C35"/>
    <w:rsid w:val="00733602"/>
    <w:rsid w:val="00733D08"/>
    <w:rsid w:val="00733FAC"/>
    <w:rsid w:val="00734E1D"/>
    <w:rsid w:val="00734F6D"/>
    <w:rsid w:val="00735A98"/>
    <w:rsid w:val="007366A5"/>
    <w:rsid w:val="00736866"/>
    <w:rsid w:val="00736982"/>
    <w:rsid w:val="00736CB0"/>
    <w:rsid w:val="00736D8C"/>
    <w:rsid w:val="0073702F"/>
    <w:rsid w:val="007374DD"/>
    <w:rsid w:val="00737D23"/>
    <w:rsid w:val="007400E6"/>
    <w:rsid w:val="00740739"/>
    <w:rsid w:val="00740C53"/>
    <w:rsid w:val="00741379"/>
    <w:rsid w:val="0074166C"/>
    <w:rsid w:val="007432E3"/>
    <w:rsid w:val="007445C1"/>
    <w:rsid w:val="0074499C"/>
    <w:rsid w:val="00747391"/>
    <w:rsid w:val="007476C6"/>
    <w:rsid w:val="00747844"/>
    <w:rsid w:val="00747D9F"/>
    <w:rsid w:val="00747DE4"/>
    <w:rsid w:val="00750C5B"/>
    <w:rsid w:val="00751496"/>
    <w:rsid w:val="00751AA4"/>
    <w:rsid w:val="00752157"/>
    <w:rsid w:val="0075249C"/>
    <w:rsid w:val="007525A6"/>
    <w:rsid w:val="00752D55"/>
    <w:rsid w:val="00755313"/>
    <w:rsid w:val="007555CD"/>
    <w:rsid w:val="0075628F"/>
    <w:rsid w:val="0075630E"/>
    <w:rsid w:val="0075658C"/>
    <w:rsid w:val="00757544"/>
    <w:rsid w:val="007614D2"/>
    <w:rsid w:val="00762942"/>
    <w:rsid w:val="00763BDE"/>
    <w:rsid w:val="00763E0E"/>
    <w:rsid w:val="007665C1"/>
    <w:rsid w:val="007671EB"/>
    <w:rsid w:val="00767240"/>
    <w:rsid w:val="00767573"/>
    <w:rsid w:val="00767AB8"/>
    <w:rsid w:val="00767B25"/>
    <w:rsid w:val="0077010A"/>
    <w:rsid w:val="00770EC7"/>
    <w:rsid w:val="00771D17"/>
    <w:rsid w:val="007728AF"/>
    <w:rsid w:val="0077328E"/>
    <w:rsid w:val="007734AD"/>
    <w:rsid w:val="0077360A"/>
    <w:rsid w:val="007738F0"/>
    <w:rsid w:val="00773E0A"/>
    <w:rsid w:val="007745C5"/>
    <w:rsid w:val="00774653"/>
    <w:rsid w:val="00776C9C"/>
    <w:rsid w:val="00776FB8"/>
    <w:rsid w:val="00777F69"/>
    <w:rsid w:val="00780DB5"/>
    <w:rsid w:val="00781523"/>
    <w:rsid w:val="00783D18"/>
    <w:rsid w:val="00783D87"/>
    <w:rsid w:val="00784174"/>
    <w:rsid w:val="007851B9"/>
    <w:rsid w:val="00786017"/>
    <w:rsid w:val="00786183"/>
    <w:rsid w:val="0078677A"/>
    <w:rsid w:val="00790737"/>
    <w:rsid w:val="00790789"/>
    <w:rsid w:val="007919E3"/>
    <w:rsid w:val="00792575"/>
    <w:rsid w:val="00792DCF"/>
    <w:rsid w:val="007937E5"/>
    <w:rsid w:val="00793834"/>
    <w:rsid w:val="007938B5"/>
    <w:rsid w:val="00794B5A"/>
    <w:rsid w:val="00794CC9"/>
    <w:rsid w:val="00795926"/>
    <w:rsid w:val="0079685C"/>
    <w:rsid w:val="00796D26"/>
    <w:rsid w:val="00797CA5"/>
    <w:rsid w:val="00797D7E"/>
    <w:rsid w:val="00797F03"/>
    <w:rsid w:val="007A0C97"/>
    <w:rsid w:val="007A1741"/>
    <w:rsid w:val="007A1E14"/>
    <w:rsid w:val="007A207F"/>
    <w:rsid w:val="007A26AE"/>
    <w:rsid w:val="007A361F"/>
    <w:rsid w:val="007A4721"/>
    <w:rsid w:val="007A472C"/>
    <w:rsid w:val="007A4A00"/>
    <w:rsid w:val="007A5538"/>
    <w:rsid w:val="007A5ABB"/>
    <w:rsid w:val="007A608B"/>
    <w:rsid w:val="007A64FC"/>
    <w:rsid w:val="007A6956"/>
    <w:rsid w:val="007A6E2F"/>
    <w:rsid w:val="007A6F1B"/>
    <w:rsid w:val="007B0406"/>
    <w:rsid w:val="007B0692"/>
    <w:rsid w:val="007B17CE"/>
    <w:rsid w:val="007B229F"/>
    <w:rsid w:val="007B2D51"/>
    <w:rsid w:val="007B3348"/>
    <w:rsid w:val="007B71AA"/>
    <w:rsid w:val="007B734E"/>
    <w:rsid w:val="007B779B"/>
    <w:rsid w:val="007B792F"/>
    <w:rsid w:val="007B7E0E"/>
    <w:rsid w:val="007B7FA6"/>
    <w:rsid w:val="007C0C35"/>
    <w:rsid w:val="007C0F7A"/>
    <w:rsid w:val="007C1B06"/>
    <w:rsid w:val="007C2197"/>
    <w:rsid w:val="007C24FD"/>
    <w:rsid w:val="007C31EA"/>
    <w:rsid w:val="007C3239"/>
    <w:rsid w:val="007C3453"/>
    <w:rsid w:val="007C3578"/>
    <w:rsid w:val="007C3C98"/>
    <w:rsid w:val="007C427D"/>
    <w:rsid w:val="007C429F"/>
    <w:rsid w:val="007C4A45"/>
    <w:rsid w:val="007C4CEE"/>
    <w:rsid w:val="007C6AC9"/>
    <w:rsid w:val="007C70C7"/>
    <w:rsid w:val="007C7861"/>
    <w:rsid w:val="007D0D92"/>
    <w:rsid w:val="007D2698"/>
    <w:rsid w:val="007D29F0"/>
    <w:rsid w:val="007D2D85"/>
    <w:rsid w:val="007D3149"/>
    <w:rsid w:val="007D3C39"/>
    <w:rsid w:val="007D4E8A"/>
    <w:rsid w:val="007D509C"/>
    <w:rsid w:val="007D5407"/>
    <w:rsid w:val="007D57E5"/>
    <w:rsid w:val="007D60B7"/>
    <w:rsid w:val="007D7E8C"/>
    <w:rsid w:val="007E0D09"/>
    <w:rsid w:val="007E1259"/>
    <w:rsid w:val="007E21B5"/>
    <w:rsid w:val="007E2D7C"/>
    <w:rsid w:val="007E2EB4"/>
    <w:rsid w:val="007E3A0A"/>
    <w:rsid w:val="007E3B34"/>
    <w:rsid w:val="007E46B2"/>
    <w:rsid w:val="007E4CE6"/>
    <w:rsid w:val="007E4D33"/>
    <w:rsid w:val="007E4FFD"/>
    <w:rsid w:val="007E5AAA"/>
    <w:rsid w:val="007E5DF5"/>
    <w:rsid w:val="007E63D6"/>
    <w:rsid w:val="007E68A5"/>
    <w:rsid w:val="007E6F3F"/>
    <w:rsid w:val="007E701A"/>
    <w:rsid w:val="007E74D4"/>
    <w:rsid w:val="007E79AF"/>
    <w:rsid w:val="007E7DF6"/>
    <w:rsid w:val="007F0017"/>
    <w:rsid w:val="007F0612"/>
    <w:rsid w:val="007F06CB"/>
    <w:rsid w:val="007F10F4"/>
    <w:rsid w:val="007F1556"/>
    <w:rsid w:val="007F1985"/>
    <w:rsid w:val="007F1BEB"/>
    <w:rsid w:val="007F260E"/>
    <w:rsid w:val="007F27CE"/>
    <w:rsid w:val="007F2B06"/>
    <w:rsid w:val="007F3332"/>
    <w:rsid w:val="007F385A"/>
    <w:rsid w:val="007F39B4"/>
    <w:rsid w:val="007F466E"/>
    <w:rsid w:val="007F4A11"/>
    <w:rsid w:val="007F4B04"/>
    <w:rsid w:val="007F580A"/>
    <w:rsid w:val="007F67F9"/>
    <w:rsid w:val="007F6ECA"/>
    <w:rsid w:val="007F6ED8"/>
    <w:rsid w:val="007F6F3C"/>
    <w:rsid w:val="007F72FF"/>
    <w:rsid w:val="007F796F"/>
    <w:rsid w:val="007F7C48"/>
    <w:rsid w:val="00800D15"/>
    <w:rsid w:val="00801956"/>
    <w:rsid w:val="00801F19"/>
    <w:rsid w:val="008028B4"/>
    <w:rsid w:val="00802A71"/>
    <w:rsid w:val="00803B32"/>
    <w:rsid w:val="00804403"/>
    <w:rsid w:val="0080491A"/>
    <w:rsid w:val="00804ACB"/>
    <w:rsid w:val="00804CC9"/>
    <w:rsid w:val="00804F63"/>
    <w:rsid w:val="00805CE0"/>
    <w:rsid w:val="00807000"/>
    <w:rsid w:val="00810606"/>
    <w:rsid w:val="008111E6"/>
    <w:rsid w:val="008114DE"/>
    <w:rsid w:val="0081174A"/>
    <w:rsid w:val="008118D1"/>
    <w:rsid w:val="00812B09"/>
    <w:rsid w:val="008131AC"/>
    <w:rsid w:val="00814026"/>
    <w:rsid w:val="00814428"/>
    <w:rsid w:val="00814DF8"/>
    <w:rsid w:val="008150F9"/>
    <w:rsid w:val="00815193"/>
    <w:rsid w:val="008166E9"/>
    <w:rsid w:val="00816A2F"/>
    <w:rsid w:val="00816C57"/>
    <w:rsid w:val="00817193"/>
    <w:rsid w:val="00817EB6"/>
    <w:rsid w:val="00820F76"/>
    <w:rsid w:val="00821372"/>
    <w:rsid w:val="0082157D"/>
    <w:rsid w:val="00821D02"/>
    <w:rsid w:val="00822479"/>
    <w:rsid w:val="0082264D"/>
    <w:rsid w:val="00823120"/>
    <w:rsid w:val="008231DB"/>
    <w:rsid w:val="008237E3"/>
    <w:rsid w:val="00824614"/>
    <w:rsid w:val="00825013"/>
    <w:rsid w:val="00825C63"/>
    <w:rsid w:val="00825EEC"/>
    <w:rsid w:val="008266D5"/>
    <w:rsid w:val="0082679C"/>
    <w:rsid w:val="00826C84"/>
    <w:rsid w:val="00826CC5"/>
    <w:rsid w:val="008279AF"/>
    <w:rsid w:val="00827BD5"/>
    <w:rsid w:val="00827F4D"/>
    <w:rsid w:val="00830149"/>
    <w:rsid w:val="00830652"/>
    <w:rsid w:val="00830D0E"/>
    <w:rsid w:val="00830F0B"/>
    <w:rsid w:val="008314B7"/>
    <w:rsid w:val="00831DFB"/>
    <w:rsid w:val="00832683"/>
    <w:rsid w:val="0083295D"/>
    <w:rsid w:val="00832988"/>
    <w:rsid w:val="0083330C"/>
    <w:rsid w:val="008337AB"/>
    <w:rsid w:val="00834687"/>
    <w:rsid w:val="00834E9C"/>
    <w:rsid w:val="0083520F"/>
    <w:rsid w:val="00836348"/>
    <w:rsid w:val="008365D9"/>
    <w:rsid w:val="008376D0"/>
    <w:rsid w:val="00837D28"/>
    <w:rsid w:val="008409FD"/>
    <w:rsid w:val="00840BCB"/>
    <w:rsid w:val="00840C67"/>
    <w:rsid w:val="00841BA1"/>
    <w:rsid w:val="00842104"/>
    <w:rsid w:val="00842198"/>
    <w:rsid w:val="008430DB"/>
    <w:rsid w:val="008431C2"/>
    <w:rsid w:val="00843984"/>
    <w:rsid w:val="00843B01"/>
    <w:rsid w:val="00843D0E"/>
    <w:rsid w:val="00843F85"/>
    <w:rsid w:val="00844F33"/>
    <w:rsid w:val="008454DE"/>
    <w:rsid w:val="00845852"/>
    <w:rsid w:val="00846BF8"/>
    <w:rsid w:val="0084701E"/>
    <w:rsid w:val="008473BE"/>
    <w:rsid w:val="00847513"/>
    <w:rsid w:val="008517C0"/>
    <w:rsid w:val="008519DA"/>
    <w:rsid w:val="00851ABC"/>
    <w:rsid w:val="00851B90"/>
    <w:rsid w:val="00851C2D"/>
    <w:rsid w:val="00851F1D"/>
    <w:rsid w:val="008528F9"/>
    <w:rsid w:val="00852D43"/>
    <w:rsid w:val="00852E2F"/>
    <w:rsid w:val="008531B3"/>
    <w:rsid w:val="0085365C"/>
    <w:rsid w:val="008544C9"/>
    <w:rsid w:val="00854E74"/>
    <w:rsid w:val="00854F1D"/>
    <w:rsid w:val="00854F3B"/>
    <w:rsid w:val="00855F56"/>
    <w:rsid w:val="008568A7"/>
    <w:rsid w:val="00857790"/>
    <w:rsid w:val="00857817"/>
    <w:rsid w:val="00860CFF"/>
    <w:rsid w:val="00860D58"/>
    <w:rsid w:val="0086119C"/>
    <w:rsid w:val="00861238"/>
    <w:rsid w:val="008613AF"/>
    <w:rsid w:val="008613F6"/>
    <w:rsid w:val="00861DAB"/>
    <w:rsid w:val="008625A1"/>
    <w:rsid w:val="00862CB0"/>
    <w:rsid w:val="008631AC"/>
    <w:rsid w:val="008632AF"/>
    <w:rsid w:val="008634C9"/>
    <w:rsid w:val="00864074"/>
    <w:rsid w:val="008641DA"/>
    <w:rsid w:val="00864255"/>
    <w:rsid w:val="008643DC"/>
    <w:rsid w:val="008645F0"/>
    <w:rsid w:val="0086478F"/>
    <w:rsid w:val="008649C1"/>
    <w:rsid w:val="00866092"/>
    <w:rsid w:val="00866B85"/>
    <w:rsid w:val="008712B5"/>
    <w:rsid w:val="008718F5"/>
    <w:rsid w:val="00872838"/>
    <w:rsid w:val="00872C36"/>
    <w:rsid w:val="00873ED0"/>
    <w:rsid w:val="00873F4B"/>
    <w:rsid w:val="00874467"/>
    <w:rsid w:val="008747F0"/>
    <w:rsid w:val="00874A6F"/>
    <w:rsid w:val="00874A9A"/>
    <w:rsid w:val="008759CA"/>
    <w:rsid w:val="00875C50"/>
    <w:rsid w:val="00876114"/>
    <w:rsid w:val="00880E77"/>
    <w:rsid w:val="00881167"/>
    <w:rsid w:val="008817B8"/>
    <w:rsid w:val="00881E86"/>
    <w:rsid w:val="00882515"/>
    <w:rsid w:val="0088290F"/>
    <w:rsid w:val="00882C95"/>
    <w:rsid w:val="00882E8F"/>
    <w:rsid w:val="00884F69"/>
    <w:rsid w:val="00885286"/>
    <w:rsid w:val="0088529E"/>
    <w:rsid w:val="0088534B"/>
    <w:rsid w:val="00885B7F"/>
    <w:rsid w:val="00885BB3"/>
    <w:rsid w:val="00885DCE"/>
    <w:rsid w:val="00886461"/>
    <w:rsid w:val="00890277"/>
    <w:rsid w:val="00890538"/>
    <w:rsid w:val="008912BE"/>
    <w:rsid w:val="00891777"/>
    <w:rsid w:val="008917BC"/>
    <w:rsid w:val="00891827"/>
    <w:rsid w:val="00891A21"/>
    <w:rsid w:val="00892EA1"/>
    <w:rsid w:val="008932A0"/>
    <w:rsid w:val="0089371E"/>
    <w:rsid w:val="0089430E"/>
    <w:rsid w:val="008954B7"/>
    <w:rsid w:val="0089584B"/>
    <w:rsid w:val="00895E04"/>
    <w:rsid w:val="008965AF"/>
    <w:rsid w:val="008965CC"/>
    <w:rsid w:val="0089704C"/>
    <w:rsid w:val="00897D24"/>
    <w:rsid w:val="00897D4D"/>
    <w:rsid w:val="008A043B"/>
    <w:rsid w:val="008A07BE"/>
    <w:rsid w:val="008A0F2C"/>
    <w:rsid w:val="008A206B"/>
    <w:rsid w:val="008A2958"/>
    <w:rsid w:val="008A2B6A"/>
    <w:rsid w:val="008A35D8"/>
    <w:rsid w:val="008A3D86"/>
    <w:rsid w:val="008A3FE4"/>
    <w:rsid w:val="008A62F0"/>
    <w:rsid w:val="008A63D7"/>
    <w:rsid w:val="008A64AD"/>
    <w:rsid w:val="008A6C1D"/>
    <w:rsid w:val="008A77BA"/>
    <w:rsid w:val="008A7CA4"/>
    <w:rsid w:val="008A7DE6"/>
    <w:rsid w:val="008B0996"/>
    <w:rsid w:val="008B0EE1"/>
    <w:rsid w:val="008B455F"/>
    <w:rsid w:val="008B5BA0"/>
    <w:rsid w:val="008B5D8C"/>
    <w:rsid w:val="008B68D2"/>
    <w:rsid w:val="008B6986"/>
    <w:rsid w:val="008B6D14"/>
    <w:rsid w:val="008B7415"/>
    <w:rsid w:val="008B7634"/>
    <w:rsid w:val="008C03A3"/>
    <w:rsid w:val="008C05F9"/>
    <w:rsid w:val="008C0EEF"/>
    <w:rsid w:val="008C1652"/>
    <w:rsid w:val="008C1DC8"/>
    <w:rsid w:val="008C28DC"/>
    <w:rsid w:val="008C28E4"/>
    <w:rsid w:val="008C38FF"/>
    <w:rsid w:val="008C3DA6"/>
    <w:rsid w:val="008C4C09"/>
    <w:rsid w:val="008C5D5B"/>
    <w:rsid w:val="008C64B0"/>
    <w:rsid w:val="008C6636"/>
    <w:rsid w:val="008C6702"/>
    <w:rsid w:val="008C6A54"/>
    <w:rsid w:val="008C717B"/>
    <w:rsid w:val="008D0BB3"/>
    <w:rsid w:val="008D0C28"/>
    <w:rsid w:val="008D1247"/>
    <w:rsid w:val="008D13B5"/>
    <w:rsid w:val="008D249D"/>
    <w:rsid w:val="008D2731"/>
    <w:rsid w:val="008D419E"/>
    <w:rsid w:val="008D5B51"/>
    <w:rsid w:val="008D68ED"/>
    <w:rsid w:val="008D6B05"/>
    <w:rsid w:val="008D6F85"/>
    <w:rsid w:val="008D733F"/>
    <w:rsid w:val="008D7395"/>
    <w:rsid w:val="008D75FE"/>
    <w:rsid w:val="008E0F14"/>
    <w:rsid w:val="008E1021"/>
    <w:rsid w:val="008E1138"/>
    <w:rsid w:val="008E1434"/>
    <w:rsid w:val="008E222C"/>
    <w:rsid w:val="008E268A"/>
    <w:rsid w:val="008E2F3F"/>
    <w:rsid w:val="008E34BC"/>
    <w:rsid w:val="008E37E1"/>
    <w:rsid w:val="008E4624"/>
    <w:rsid w:val="008E4743"/>
    <w:rsid w:val="008E4912"/>
    <w:rsid w:val="008E53EB"/>
    <w:rsid w:val="008E5748"/>
    <w:rsid w:val="008E5AE6"/>
    <w:rsid w:val="008E5B3E"/>
    <w:rsid w:val="008E6A73"/>
    <w:rsid w:val="008E6C01"/>
    <w:rsid w:val="008E6D34"/>
    <w:rsid w:val="008E74D5"/>
    <w:rsid w:val="008E7BD4"/>
    <w:rsid w:val="008F0DA0"/>
    <w:rsid w:val="008F100D"/>
    <w:rsid w:val="008F16A2"/>
    <w:rsid w:val="008F16A3"/>
    <w:rsid w:val="008F2E34"/>
    <w:rsid w:val="008F3B3D"/>
    <w:rsid w:val="008F3B4E"/>
    <w:rsid w:val="008F3E71"/>
    <w:rsid w:val="008F41E5"/>
    <w:rsid w:val="008F45B1"/>
    <w:rsid w:val="008F4C72"/>
    <w:rsid w:val="008F536B"/>
    <w:rsid w:val="008F56A3"/>
    <w:rsid w:val="008F6639"/>
    <w:rsid w:val="008F7A6A"/>
    <w:rsid w:val="009006CE"/>
    <w:rsid w:val="00900822"/>
    <w:rsid w:val="00900C7D"/>
    <w:rsid w:val="00901941"/>
    <w:rsid w:val="00901C4A"/>
    <w:rsid w:val="00903AD9"/>
    <w:rsid w:val="009054E4"/>
    <w:rsid w:val="00905B77"/>
    <w:rsid w:val="0090654E"/>
    <w:rsid w:val="009067F1"/>
    <w:rsid w:val="00906C3C"/>
    <w:rsid w:val="00906F6F"/>
    <w:rsid w:val="00907143"/>
    <w:rsid w:val="00907407"/>
    <w:rsid w:val="00910215"/>
    <w:rsid w:val="00910A42"/>
    <w:rsid w:val="00910FB1"/>
    <w:rsid w:val="00911519"/>
    <w:rsid w:val="009118EE"/>
    <w:rsid w:val="00911A08"/>
    <w:rsid w:val="00911E18"/>
    <w:rsid w:val="0091237E"/>
    <w:rsid w:val="009124F3"/>
    <w:rsid w:val="00912933"/>
    <w:rsid w:val="00912ECA"/>
    <w:rsid w:val="00914551"/>
    <w:rsid w:val="00914A8A"/>
    <w:rsid w:val="00915731"/>
    <w:rsid w:val="00915A38"/>
    <w:rsid w:val="009163BE"/>
    <w:rsid w:val="009178A5"/>
    <w:rsid w:val="0092025F"/>
    <w:rsid w:val="00920297"/>
    <w:rsid w:val="00921065"/>
    <w:rsid w:val="009230E2"/>
    <w:rsid w:val="0092413A"/>
    <w:rsid w:val="00924CCB"/>
    <w:rsid w:val="009252FF"/>
    <w:rsid w:val="009257B4"/>
    <w:rsid w:val="00925962"/>
    <w:rsid w:val="00925D98"/>
    <w:rsid w:val="009265E3"/>
    <w:rsid w:val="00926C49"/>
    <w:rsid w:val="009272F9"/>
    <w:rsid w:val="009274E2"/>
    <w:rsid w:val="00927B35"/>
    <w:rsid w:val="009302A1"/>
    <w:rsid w:val="00930363"/>
    <w:rsid w:val="00930C74"/>
    <w:rsid w:val="00930CBF"/>
    <w:rsid w:val="00930EAD"/>
    <w:rsid w:val="00931580"/>
    <w:rsid w:val="00931AC6"/>
    <w:rsid w:val="009328AC"/>
    <w:rsid w:val="00933D79"/>
    <w:rsid w:val="00934317"/>
    <w:rsid w:val="00934338"/>
    <w:rsid w:val="0093469A"/>
    <w:rsid w:val="00934A69"/>
    <w:rsid w:val="009355D8"/>
    <w:rsid w:val="0093598D"/>
    <w:rsid w:val="00935F93"/>
    <w:rsid w:val="009379B5"/>
    <w:rsid w:val="0094059E"/>
    <w:rsid w:val="009408E6"/>
    <w:rsid w:val="009409F0"/>
    <w:rsid w:val="00940CB4"/>
    <w:rsid w:val="0094229C"/>
    <w:rsid w:val="00943517"/>
    <w:rsid w:val="009435BC"/>
    <w:rsid w:val="00943817"/>
    <w:rsid w:val="0094397C"/>
    <w:rsid w:val="00943E94"/>
    <w:rsid w:val="00944029"/>
    <w:rsid w:val="00944B3A"/>
    <w:rsid w:val="00945F40"/>
    <w:rsid w:val="0094640C"/>
    <w:rsid w:val="00946930"/>
    <w:rsid w:val="00946B74"/>
    <w:rsid w:val="00946C29"/>
    <w:rsid w:val="00946F51"/>
    <w:rsid w:val="00947174"/>
    <w:rsid w:val="00950161"/>
    <w:rsid w:val="00950162"/>
    <w:rsid w:val="009504BD"/>
    <w:rsid w:val="00950C9C"/>
    <w:rsid w:val="00950E54"/>
    <w:rsid w:val="00951A46"/>
    <w:rsid w:val="00951AC0"/>
    <w:rsid w:val="00951B99"/>
    <w:rsid w:val="00951FBC"/>
    <w:rsid w:val="00952F75"/>
    <w:rsid w:val="00953235"/>
    <w:rsid w:val="00953ACE"/>
    <w:rsid w:val="0095408B"/>
    <w:rsid w:val="00954132"/>
    <w:rsid w:val="00954B47"/>
    <w:rsid w:val="00954D36"/>
    <w:rsid w:val="009566CB"/>
    <w:rsid w:val="0095713F"/>
    <w:rsid w:val="00960502"/>
    <w:rsid w:val="00960C9D"/>
    <w:rsid w:val="00961227"/>
    <w:rsid w:val="00961559"/>
    <w:rsid w:val="00961813"/>
    <w:rsid w:val="0096213D"/>
    <w:rsid w:val="00962593"/>
    <w:rsid w:val="00963285"/>
    <w:rsid w:val="00963997"/>
    <w:rsid w:val="00963F66"/>
    <w:rsid w:val="009648D1"/>
    <w:rsid w:val="00965616"/>
    <w:rsid w:val="00965851"/>
    <w:rsid w:val="00965ABD"/>
    <w:rsid w:val="00965B22"/>
    <w:rsid w:val="00965C4E"/>
    <w:rsid w:val="00965E72"/>
    <w:rsid w:val="00965F7C"/>
    <w:rsid w:val="00966111"/>
    <w:rsid w:val="00967335"/>
    <w:rsid w:val="009678A4"/>
    <w:rsid w:val="00967C90"/>
    <w:rsid w:val="009704B4"/>
    <w:rsid w:val="0097180E"/>
    <w:rsid w:val="0097220D"/>
    <w:rsid w:val="00972B16"/>
    <w:rsid w:val="00972EA8"/>
    <w:rsid w:val="00972FD7"/>
    <w:rsid w:val="0097327B"/>
    <w:rsid w:val="00973802"/>
    <w:rsid w:val="009750EC"/>
    <w:rsid w:val="00975140"/>
    <w:rsid w:val="009762CC"/>
    <w:rsid w:val="00976FD5"/>
    <w:rsid w:val="009775E0"/>
    <w:rsid w:val="00977833"/>
    <w:rsid w:val="009778D0"/>
    <w:rsid w:val="00980C41"/>
    <w:rsid w:val="0098182F"/>
    <w:rsid w:val="00981AF0"/>
    <w:rsid w:val="00981CAA"/>
    <w:rsid w:val="00982A81"/>
    <w:rsid w:val="00982BEE"/>
    <w:rsid w:val="00983211"/>
    <w:rsid w:val="00983249"/>
    <w:rsid w:val="00984CAD"/>
    <w:rsid w:val="00984E0D"/>
    <w:rsid w:val="0098513C"/>
    <w:rsid w:val="00985284"/>
    <w:rsid w:val="00986EC0"/>
    <w:rsid w:val="00990645"/>
    <w:rsid w:val="00990DEF"/>
    <w:rsid w:val="0099361D"/>
    <w:rsid w:val="00993C91"/>
    <w:rsid w:val="0099404F"/>
    <w:rsid w:val="00994796"/>
    <w:rsid w:val="00994A7C"/>
    <w:rsid w:val="009954A2"/>
    <w:rsid w:val="009959A6"/>
    <w:rsid w:val="00995A9F"/>
    <w:rsid w:val="00996231"/>
    <w:rsid w:val="009962DA"/>
    <w:rsid w:val="00996591"/>
    <w:rsid w:val="00996859"/>
    <w:rsid w:val="0099757F"/>
    <w:rsid w:val="00997A88"/>
    <w:rsid w:val="00997B6F"/>
    <w:rsid w:val="00997F2A"/>
    <w:rsid w:val="009A0621"/>
    <w:rsid w:val="009A0981"/>
    <w:rsid w:val="009A202A"/>
    <w:rsid w:val="009A2879"/>
    <w:rsid w:val="009A314E"/>
    <w:rsid w:val="009A3887"/>
    <w:rsid w:val="009A4B39"/>
    <w:rsid w:val="009A644A"/>
    <w:rsid w:val="009A6847"/>
    <w:rsid w:val="009A688A"/>
    <w:rsid w:val="009A6E2C"/>
    <w:rsid w:val="009A7A05"/>
    <w:rsid w:val="009A7F97"/>
    <w:rsid w:val="009B0796"/>
    <w:rsid w:val="009B2C39"/>
    <w:rsid w:val="009B2E60"/>
    <w:rsid w:val="009B3FCE"/>
    <w:rsid w:val="009B4087"/>
    <w:rsid w:val="009B4E9A"/>
    <w:rsid w:val="009B56CF"/>
    <w:rsid w:val="009B5722"/>
    <w:rsid w:val="009B5DE4"/>
    <w:rsid w:val="009B5EDE"/>
    <w:rsid w:val="009B62B0"/>
    <w:rsid w:val="009C0629"/>
    <w:rsid w:val="009C1427"/>
    <w:rsid w:val="009C1ED3"/>
    <w:rsid w:val="009C2505"/>
    <w:rsid w:val="009C2BC2"/>
    <w:rsid w:val="009C2C4F"/>
    <w:rsid w:val="009C2E07"/>
    <w:rsid w:val="009C34FC"/>
    <w:rsid w:val="009C39F0"/>
    <w:rsid w:val="009C52B3"/>
    <w:rsid w:val="009C5C9E"/>
    <w:rsid w:val="009C6B6F"/>
    <w:rsid w:val="009C760D"/>
    <w:rsid w:val="009C7C88"/>
    <w:rsid w:val="009D014D"/>
    <w:rsid w:val="009D08DE"/>
    <w:rsid w:val="009D0D2F"/>
    <w:rsid w:val="009D1D5B"/>
    <w:rsid w:val="009D1F7F"/>
    <w:rsid w:val="009D29F0"/>
    <w:rsid w:val="009D2A27"/>
    <w:rsid w:val="009D2F15"/>
    <w:rsid w:val="009D37D2"/>
    <w:rsid w:val="009D38D4"/>
    <w:rsid w:val="009D4763"/>
    <w:rsid w:val="009D5986"/>
    <w:rsid w:val="009D5E24"/>
    <w:rsid w:val="009D76AA"/>
    <w:rsid w:val="009D795D"/>
    <w:rsid w:val="009E216F"/>
    <w:rsid w:val="009E2526"/>
    <w:rsid w:val="009E26C5"/>
    <w:rsid w:val="009E361E"/>
    <w:rsid w:val="009E3645"/>
    <w:rsid w:val="009E3DF7"/>
    <w:rsid w:val="009E46AF"/>
    <w:rsid w:val="009E48EB"/>
    <w:rsid w:val="009E4ED4"/>
    <w:rsid w:val="009E5162"/>
    <w:rsid w:val="009E528C"/>
    <w:rsid w:val="009E6688"/>
    <w:rsid w:val="009E6757"/>
    <w:rsid w:val="009E6CD2"/>
    <w:rsid w:val="009E74E4"/>
    <w:rsid w:val="009E7948"/>
    <w:rsid w:val="009F03AC"/>
    <w:rsid w:val="009F0DC5"/>
    <w:rsid w:val="009F0FEF"/>
    <w:rsid w:val="009F1AFC"/>
    <w:rsid w:val="009F1D16"/>
    <w:rsid w:val="009F274E"/>
    <w:rsid w:val="009F33FE"/>
    <w:rsid w:val="009F3C63"/>
    <w:rsid w:val="009F403C"/>
    <w:rsid w:val="009F4E2D"/>
    <w:rsid w:val="009F5B55"/>
    <w:rsid w:val="009F6495"/>
    <w:rsid w:val="009F71A3"/>
    <w:rsid w:val="009F73B5"/>
    <w:rsid w:val="00A002C8"/>
    <w:rsid w:val="00A007C9"/>
    <w:rsid w:val="00A0083B"/>
    <w:rsid w:val="00A0188C"/>
    <w:rsid w:val="00A01EAE"/>
    <w:rsid w:val="00A02425"/>
    <w:rsid w:val="00A02C35"/>
    <w:rsid w:val="00A036C9"/>
    <w:rsid w:val="00A039E8"/>
    <w:rsid w:val="00A04133"/>
    <w:rsid w:val="00A04FF3"/>
    <w:rsid w:val="00A05E70"/>
    <w:rsid w:val="00A06D7C"/>
    <w:rsid w:val="00A1042F"/>
    <w:rsid w:val="00A1286A"/>
    <w:rsid w:val="00A137F0"/>
    <w:rsid w:val="00A13CFE"/>
    <w:rsid w:val="00A13F2E"/>
    <w:rsid w:val="00A14662"/>
    <w:rsid w:val="00A14825"/>
    <w:rsid w:val="00A14F3A"/>
    <w:rsid w:val="00A1557E"/>
    <w:rsid w:val="00A1558F"/>
    <w:rsid w:val="00A15AA2"/>
    <w:rsid w:val="00A15BCE"/>
    <w:rsid w:val="00A162B1"/>
    <w:rsid w:val="00A16A1C"/>
    <w:rsid w:val="00A1749E"/>
    <w:rsid w:val="00A1759D"/>
    <w:rsid w:val="00A178FE"/>
    <w:rsid w:val="00A206E7"/>
    <w:rsid w:val="00A21036"/>
    <w:rsid w:val="00A21A28"/>
    <w:rsid w:val="00A21ACB"/>
    <w:rsid w:val="00A220F1"/>
    <w:rsid w:val="00A229DA"/>
    <w:rsid w:val="00A2324F"/>
    <w:rsid w:val="00A2433C"/>
    <w:rsid w:val="00A245B4"/>
    <w:rsid w:val="00A2466B"/>
    <w:rsid w:val="00A24806"/>
    <w:rsid w:val="00A24C66"/>
    <w:rsid w:val="00A24F82"/>
    <w:rsid w:val="00A2526C"/>
    <w:rsid w:val="00A25539"/>
    <w:rsid w:val="00A25690"/>
    <w:rsid w:val="00A256DB"/>
    <w:rsid w:val="00A25A6E"/>
    <w:rsid w:val="00A27A90"/>
    <w:rsid w:val="00A3079E"/>
    <w:rsid w:val="00A30F29"/>
    <w:rsid w:val="00A328B0"/>
    <w:rsid w:val="00A32CC9"/>
    <w:rsid w:val="00A32D8E"/>
    <w:rsid w:val="00A346B3"/>
    <w:rsid w:val="00A34E02"/>
    <w:rsid w:val="00A3572D"/>
    <w:rsid w:val="00A35EA4"/>
    <w:rsid w:val="00A36108"/>
    <w:rsid w:val="00A363EF"/>
    <w:rsid w:val="00A36A28"/>
    <w:rsid w:val="00A3756B"/>
    <w:rsid w:val="00A40125"/>
    <w:rsid w:val="00A414AB"/>
    <w:rsid w:val="00A4212A"/>
    <w:rsid w:val="00A44219"/>
    <w:rsid w:val="00A4555F"/>
    <w:rsid w:val="00A478C8"/>
    <w:rsid w:val="00A50322"/>
    <w:rsid w:val="00A503F6"/>
    <w:rsid w:val="00A50657"/>
    <w:rsid w:val="00A50F8C"/>
    <w:rsid w:val="00A51179"/>
    <w:rsid w:val="00A51CE9"/>
    <w:rsid w:val="00A51EDA"/>
    <w:rsid w:val="00A52B35"/>
    <w:rsid w:val="00A52B5C"/>
    <w:rsid w:val="00A53809"/>
    <w:rsid w:val="00A53C64"/>
    <w:rsid w:val="00A54754"/>
    <w:rsid w:val="00A548F5"/>
    <w:rsid w:val="00A54ED0"/>
    <w:rsid w:val="00A5507B"/>
    <w:rsid w:val="00A55431"/>
    <w:rsid w:val="00A56904"/>
    <w:rsid w:val="00A56A7D"/>
    <w:rsid w:val="00A5728D"/>
    <w:rsid w:val="00A57EB2"/>
    <w:rsid w:val="00A605A7"/>
    <w:rsid w:val="00A60EFD"/>
    <w:rsid w:val="00A611F6"/>
    <w:rsid w:val="00A617DC"/>
    <w:rsid w:val="00A61B47"/>
    <w:rsid w:val="00A620AC"/>
    <w:rsid w:val="00A634B7"/>
    <w:rsid w:val="00A64B1E"/>
    <w:rsid w:val="00A64D41"/>
    <w:rsid w:val="00A66AAB"/>
    <w:rsid w:val="00A66E82"/>
    <w:rsid w:val="00A67148"/>
    <w:rsid w:val="00A678FA"/>
    <w:rsid w:val="00A703FC"/>
    <w:rsid w:val="00A70746"/>
    <w:rsid w:val="00A7075F"/>
    <w:rsid w:val="00A709AF"/>
    <w:rsid w:val="00A70F95"/>
    <w:rsid w:val="00A71377"/>
    <w:rsid w:val="00A71A2B"/>
    <w:rsid w:val="00A72408"/>
    <w:rsid w:val="00A727B8"/>
    <w:rsid w:val="00A72855"/>
    <w:rsid w:val="00A72A77"/>
    <w:rsid w:val="00A73207"/>
    <w:rsid w:val="00A73FB1"/>
    <w:rsid w:val="00A74456"/>
    <w:rsid w:val="00A74D64"/>
    <w:rsid w:val="00A75040"/>
    <w:rsid w:val="00A75BFA"/>
    <w:rsid w:val="00A76107"/>
    <w:rsid w:val="00A773DD"/>
    <w:rsid w:val="00A775B8"/>
    <w:rsid w:val="00A778A0"/>
    <w:rsid w:val="00A77C10"/>
    <w:rsid w:val="00A77E36"/>
    <w:rsid w:val="00A81168"/>
    <w:rsid w:val="00A81825"/>
    <w:rsid w:val="00A818D1"/>
    <w:rsid w:val="00A81F42"/>
    <w:rsid w:val="00A821AB"/>
    <w:rsid w:val="00A82839"/>
    <w:rsid w:val="00A83DB9"/>
    <w:rsid w:val="00A8429C"/>
    <w:rsid w:val="00A842BD"/>
    <w:rsid w:val="00A855D5"/>
    <w:rsid w:val="00A85727"/>
    <w:rsid w:val="00A85937"/>
    <w:rsid w:val="00A8617F"/>
    <w:rsid w:val="00A863DD"/>
    <w:rsid w:val="00A86444"/>
    <w:rsid w:val="00A866AD"/>
    <w:rsid w:val="00A86B28"/>
    <w:rsid w:val="00A86FDE"/>
    <w:rsid w:val="00A877C2"/>
    <w:rsid w:val="00A8784B"/>
    <w:rsid w:val="00A87FA6"/>
    <w:rsid w:val="00A900A4"/>
    <w:rsid w:val="00A906B3"/>
    <w:rsid w:val="00A91585"/>
    <w:rsid w:val="00A92287"/>
    <w:rsid w:val="00A92443"/>
    <w:rsid w:val="00A92D10"/>
    <w:rsid w:val="00A92EC5"/>
    <w:rsid w:val="00A93275"/>
    <w:rsid w:val="00A93549"/>
    <w:rsid w:val="00A93652"/>
    <w:rsid w:val="00A93CFA"/>
    <w:rsid w:val="00A94DDC"/>
    <w:rsid w:val="00A9629D"/>
    <w:rsid w:val="00A962A6"/>
    <w:rsid w:val="00A962C8"/>
    <w:rsid w:val="00AA0B6A"/>
    <w:rsid w:val="00AA1E4B"/>
    <w:rsid w:val="00AA22E3"/>
    <w:rsid w:val="00AA2956"/>
    <w:rsid w:val="00AA2B9A"/>
    <w:rsid w:val="00AA30EB"/>
    <w:rsid w:val="00AA3C0A"/>
    <w:rsid w:val="00AA42F4"/>
    <w:rsid w:val="00AA495A"/>
    <w:rsid w:val="00AA4BB4"/>
    <w:rsid w:val="00AA62AF"/>
    <w:rsid w:val="00AA659B"/>
    <w:rsid w:val="00AA6717"/>
    <w:rsid w:val="00AA67C5"/>
    <w:rsid w:val="00AA6FEC"/>
    <w:rsid w:val="00AA72BD"/>
    <w:rsid w:val="00AA75F8"/>
    <w:rsid w:val="00AA77DD"/>
    <w:rsid w:val="00AA7EC3"/>
    <w:rsid w:val="00AB04A7"/>
    <w:rsid w:val="00AB0797"/>
    <w:rsid w:val="00AB0940"/>
    <w:rsid w:val="00AB0A6D"/>
    <w:rsid w:val="00AB1710"/>
    <w:rsid w:val="00AB174C"/>
    <w:rsid w:val="00AB22A9"/>
    <w:rsid w:val="00AB2E47"/>
    <w:rsid w:val="00AB383C"/>
    <w:rsid w:val="00AB4D2F"/>
    <w:rsid w:val="00AB67FA"/>
    <w:rsid w:val="00AB6CFE"/>
    <w:rsid w:val="00AB7266"/>
    <w:rsid w:val="00AB77F0"/>
    <w:rsid w:val="00AC028A"/>
    <w:rsid w:val="00AC0B34"/>
    <w:rsid w:val="00AC1180"/>
    <w:rsid w:val="00AC148A"/>
    <w:rsid w:val="00AC1607"/>
    <w:rsid w:val="00AC2B16"/>
    <w:rsid w:val="00AC41F0"/>
    <w:rsid w:val="00AC4391"/>
    <w:rsid w:val="00AC43A4"/>
    <w:rsid w:val="00AC5154"/>
    <w:rsid w:val="00AC5731"/>
    <w:rsid w:val="00AC66A0"/>
    <w:rsid w:val="00AC6CA9"/>
    <w:rsid w:val="00AC73A9"/>
    <w:rsid w:val="00AC744C"/>
    <w:rsid w:val="00AC7EEC"/>
    <w:rsid w:val="00AD0385"/>
    <w:rsid w:val="00AD0DE2"/>
    <w:rsid w:val="00AD1054"/>
    <w:rsid w:val="00AD12E4"/>
    <w:rsid w:val="00AD141F"/>
    <w:rsid w:val="00AD177F"/>
    <w:rsid w:val="00AD18B6"/>
    <w:rsid w:val="00AD1EC7"/>
    <w:rsid w:val="00AD2109"/>
    <w:rsid w:val="00AD27B0"/>
    <w:rsid w:val="00AD3060"/>
    <w:rsid w:val="00AD3498"/>
    <w:rsid w:val="00AD3603"/>
    <w:rsid w:val="00AD36F7"/>
    <w:rsid w:val="00AD4B92"/>
    <w:rsid w:val="00AD4EEA"/>
    <w:rsid w:val="00AD5212"/>
    <w:rsid w:val="00AD54AB"/>
    <w:rsid w:val="00AD7815"/>
    <w:rsid w:val="00AE0205"/>
    <w:rsid w:val="00AE2CB0"/>
    <w:rsid w:val="00AE2D51"/>
    <w:rsid w:val="00AE32C7"/>
    <w:rsid w:val="00AE4208"/>
    <w:rsid w:val="00AE4673"/>
    <w:rsid w:val="00AE4714"/>
    <w:rsid w:val="00AE56D7"/>
    <w:rsid w:val="00AE5CB1"/>
    <w:rsid w:val="00AE6359"/>
    <w:rsid w:val="00AE6D75"/>
    <w:rsid w:val="00AE6F8F"/>
    <w:rsid w:val="00AE75C1"/>
    <w:rsid w:val="00AE777E"/>
    <w:rsid w:val="00AE7D0C"/>
    <w:rsid w:val="00AF0613"/>
    <w:rsid w:val="00AF0E6F"/>
    <w:rsid w:val="00AF1E91"/>
    <w:rsid w:val="00AF30DD"/>
    <w:rsid w:val="00AF3FDB"/>
    <w:rsid w:val="00AF666C"/>
    <w:rsid w:val="00AF7011"/>
    <w:rsid w:val="00AF7DD1"/>
    <w:rsid w:val="00B008DB"/>
    <w:rsid w:val="00B00A1B"/>
    <w:rsid w:val="00B018A4"/>
    <w:rsid w:val="00B01ABD"/>
    <w:rsid w:val="00B03407"/>
    <w:rsid w:val="00B0347C"/>
    <w:rsid w:val="00B035D4"/>
    <w:rsid w:val="00B04B7B"/>
    <w:rsid w:val="00B04DEB"/>
    <w:rsid w:val="00B05A62"/>
    <w:rsid w:val="00B05C60"/>
    <w:rsid w:val="00B06046"/>
    <w:rsid w:val="00B0620A"/>
    <w:rsid w:val="00B06750"/>
    <w:rsid w:val="00B06D3C"/>
    <w:rsid w:val="00B1014C"/>
    <w:rsid w:val="00B110A8"/>
    <w:rsid w:val="00B1121E"/>
    <w:rsid w:val="00B113BF"/>
    <w:rsid w:val="00B11876"/>
    <w:rsid w:val="00B11AA7"/>
    <w:rsid w:val="00B11E53"/>
    <w:rsid w:val="00B11EE2"/>
    <w:rsid w:val="00B1280D"/>
    <w:rsid w:val="00B12AF1"/>
    <w:rsid w:val="00B13169"/>
    <w:rsid w:val="00B13593"/>
    <w:rsid w:val="00B13B07"/>
    <w:rsid w:val="00B142CA"/>
    <w:rsid w:val="00B14C12"/>
    <w:rsid w:val="00B15956"/>
    <w:rsid w:val="00B15F50"/>
    <w:rsid w:val="00B16BD9"/>
    <w:rsid w:val="00B171C9"/>
    <w:rsid w:val="00B17782"/>
    <w:rsid w:val="00B20711"/>
    <w:rsid w:val="00B21660"/>
    <w:rsid w:val="00B23346"/>
    <w:rsid w:val="00B23947"/>
    <w:rsid w:val="00B2471F"/>
    <w:rsid w:val="00B24A43"/>
    <w:rsid w:val="00B25743"/>
    <w:rsid w:val="00B258C0"/>
    <w:rsid w:val="00B26917"/>
    <w:rsid w:val="00B27440"/>
    <w:rsid w:val="00B30356"/>
    <w:rsid w:val="00B30A42"/>
    <w:rsid w:val="00B312C9"/>
    <w:rsid w:val="00B31729"/>
    <w:rsid w:val="00B32BA3"/>
    <w:rsid w:val="00B33E4F"/>
    <w:rsid w:val="00B346A5"/>
    <w:rsid w:val="00B34EFF"/>
    <w:rsid w:val="00B34FB8"/>
    <w:rsid w:val="00B3562C"/>
    <w:rsid w:val="00B35D88"/>
    <w:rsid w:val="00B35F6F"/>
    <w:rsid w:val="00B3606C"/>
    <w:rsid w:val="00B369B1"/>
    <w:rsid w:val="00B417AE"/>
    <w:rsid w:val="00B41CF4"/>
    <w:rsid w:val="00B4259D"/>
    <w:rsid w:val="00B4278D"/>
    <w:rsid w:val="00B43329"/>
    <w:rsid w:val="00B4368B"/>
    <w:rsid w:val="00B4413E"/>
    <w:rsid w:val="00B44768"/>
    <w:rsid w:val="00B459B4"/>
    <w:rsid w:val="00B50C4C"/>
    <w:rsid w:val="00B51EFB"/>
    <w:rsid w:val="00B52EB4"/>
    <w:rsid w:val="00B53176"/>
    <w:rsid w:val="00B546E2"/>
    <w:rsid w:val="00B55563"/>
    <w:rsid w:val="00B55589"/>
    <w:rsid w:val="00B556DF"/>
    <w:rsid w:val="00B55E59"/>
    <w:rsid w:val="00B56CA8"/>
    <w:rsid w:val="00B572B7"/>
    <w:rsid w:val="00B603D1"/>
    <w:rsid w:val="00B6059A"/>
    <w:rsid w:val="00B61828"/>
    <w:rsid w:val="00B61851"/>
    <w:rsid w:val="00B61E23"/>
    <w:rsid w:val="00B620E2"/>
    <w:rsid w:val="00B62381"/>
    <w:rsid w:val="00B629DA"/>
    <w:rsid w:val="00B62BD1"/>
    <w:rsid w:val="00B62E15"/>
    <w:rsid w:val="00B6301F"/>
    <w:rsid w:val="00B63145"/>
    <w:rsid w:val="00B6426B"/>
    <w:rsid w:val="00B645D3"/>
    <w:rsid w:val="00B64E56"/>
    <w:rsid w:val="00B6529F"/>
    <w:rsid w:val="00B6557E"/>
    <w:rsid w:val="00B663EC"/>
    <w:rsid w:val="00B666B3"/>
    <w:rsid w:val="00B66826"/>
    <w:rsid w:val="00B66F54"/>
    <w:rsid w:val="00B66FBF"/>
    <w:rsid w:val="00B67158"/>
    <w:rsid w:val="00B67345"/>
    <w:rsid w:val="00B674C0"/>
    <w:rsid w:val="00B67556"/>
    <w:rsid w:val="00B6760C"/>
    <w:rsid w:val="00B70EF8"/>
    <w:rsid w:val="00B71C86"/>
    <w:rsid w:val="00B72E3D"/>
    <w:rsid w:val="00B72EE0"/>
    <w:rsid w:val="00B736C4"/>
    <w:rsid w:val="00B737C5"/>
    <w:rsid w:val="00B73DC7"/>
    <w:rsid w:val="00B743F5"/>
    <w:rsid w:val="00B74689"/>
    <w:rsid w:val="00B7504F"/>
    <w:rsid w:val="00B75154"/>
    <w:rsid w:val="00B75534"/>
    <w:rsid w:val="00B757EE"/>
    <w:rsid w:val="00B765DC"/>
    <w:rsid w:val="00B77272"/>
    <w:rsid w:val="00B777B5"/>
    <w:rsid w:val="00B77E5A"/>
    <w:rsid w:val="00B806E5"/>
    <w:rsid w:val="00B806F8"/>
    <w:rsid w:val="00B8139D"/>
    <w:rsid w:val="00B81585"/>
    <w:rsid w:val="00B818C7"/>
    <w:rsid w:val="00B81950"/>
    <w:rsid w:val="00B81EA0"/>
    <w:rsid w:val="00B82F89"/>
    <w:rsid w:val="00B8306C"/>
    <w:rsid w:val="00B83798"/>
    <w:rsid w:val="00B83E88"/>
    <w:rsid w:val="00B8420F"/>
    <w:rsid w:val="00B854E2"/>
    <w:rsid w:val="00B858B0"/>
    <w:rsid w:val="00B86FE1"/>
    <w:rsid w:val="00B8742F"/>
    <w:rsid w:val="00B8775D"/>
    <w:rsid w:val="00B87AF7"/>
    <w:rsid w:val="00B87B56"/>
    <w:rsid w:val="00B87DB2"/>
    <w:rsid w:val="00B90223"/>
    <w:rsid w:val="00B90D34"/>
    <w:rsid w:val="00B92807"/>
    <w:rsid w:val="00B95106"/>
    <w:rsid w:val="00B95136"/>
    <w:rsid w:val="00B95891"/>
    <w:rsid w:val="00B95F54"/>
    <w:rsid w:val="00B9601B"/>
    <w:rsid w:val="00B967EC"/>
    <w:rsid w:val="00B9681A"/>
    <w:rsid w:val="00B97096"/>
    <w:rsid w:val="00B97B19"/>
    <w:rsid w:val="00BA091A"/>
    <w:rsid w:val="00BA093A"/>
    <w:rsid w:val="00BA094A"/>
    <w:rsid w:val="00BA12E7"/>
    <w:rsid w:val="00BA1441"/>
    <w:rsid w:val="00BA1919"/>
    <w:rsid w:val="00BA1F6F"/>
    <w:rsid w:val="00BA226B"/>
    <w:rsid w:val="00BA22EF"/>
    <w:rsid w:val="00BA24AE"/>
    <w:rsid w:val="00BA2D5A"/>
    <w:rsid w:val="00BA3048"/>
    <w:rsid w:val="00BA3734"/>
    <w:rsid w:val="00BA3CF0"/>
    <w:rsid w:val="00BA40FA"/>
    <w:rsid w:val="00BA459F"/>
    <w:rsid w:val="00BA46B3"/>
    <w:rsid w:val="00BA4A73"/>
    <w:rsid w:val="00BA5757"/>
    <w:rsid w:val="00BA5C8F"/>
    <w:rsid w:val="00BA5EC2"/>
    <w:rsid w:val="00BA6068"/>
    <w:rsid w:val="00BA6961"/>
    <w:rsid w:val="00BA75EC"/>
    <w:rsid w:val="00BB201F"/>
    <w:rsid w:val="00BB219D"/>
    <w:rsid w:val="00BB2904"/>
    <w:rsid w:val="00BB3065"/>
    <w:rsid w:val="00BB35AD"/>
    <w:rsid w:val="00BB362E"/>
    <w:rsid w:val="00BB3948"/>
    <w:rsid w:val="00BB3A29"/>
    <w:rsid w:val="00BB46EB"/>
    <w:rsid w:val="00BB5710"/>
    <w:rsid w:val="00BB6BF1"/>
    <w:rsid w:val="00BB7283"/>
    <w:rsid w:val="00BB742E"/>
    <w:rsid w:val="00BB7D6B"/>
    <w:rsid w:val="00BC0455"/>
    <w:rsid w:val="00BC0B77"/>
    <w:rsid w:val="00BC0C8C"/>
    <w:rsid w:val="00BC1AAB"/>
    <w:rsid w:val="00BC1EB7"/>
    <w:rsid w:val="00BC25D5"/>
    <w:rsid w:val="00BC324F"/>
    <w:rsid w:val="00BC3333"/>
    <w:rsid w:val="00BC4B48"/>
    <w:rsid w:val="00BC54F6"/>
    <w:rsid w:val="00BC59D2"/>
    <w:rsid w:val="00BC5F04"/>
    <w:rsid w:val="00BC6C96"/>
    <w:rsid w:val="00BC6DD8"/>
    <w:rsid w:val="00BC7027"/>
    <w:rsid w:val="00BC7ABF"/>
    <w:rsid w:val="00BC7C59"/>
    <w:rsid w:val="00BD023F"/>
    <w:rsid w:val="00BD0938"/>
    <w:rsid w:val="00BD0B2C"/>
    <w:rsid w:val="00BD0FE7"/>
    <w:rsid w:val="00BD18F7"/>
    <w:rsid w:val="00BD2004"/>
    <w:rsid w:val="00BD2F0A"/>
    <w:rsid w:val="00BD43A3"/>
    <w:rsid w:val="00BD4959"/>
    <w:rsid w:val="00BD54E7"/>
    <w:rsid w:val="00BD5927"/>
    <w:rsid w:val="00BD59DC"/>
    <w:rsid w:val="00BD5AC3"/>
    <w:rsid w:val="00BD6507"/>
    <w:rsid w:val="00BD78A2"/>
    <w:rsid w:val="00BD7CE9"/>
    <w:rsid w:val="00BE0345"/>
    <w:rsid w:val="00BE0E52"/>
    <w:rsid w:val="00BE1A73"/>
    <w:rsid w:val="00BE3AED"/>
    <w:rsid w:val="00BE3DE8"/>
    <w:rsid w:val="00BE5A0F"/>
    <w:rsid w:val="00BE5EFE"/>
    <w:rsid w:val="00BE6259"/>
    <w:rsid w:val="00BE7C7D"/>
    <w:rsid w:val="00BF05D5"/>
    <w:rsid w:val="00BF13D2"/>
    <w:rsid w:val="00BF1561"/>
    <w:rsid w:val="00BF1B7E"/>
    <w:rsid w:val="00BF1E19"/>
    <w:rsid w:val="00BF1E26"/>
    <w:rsid w:val="00BF2B1A"/>
    <w:rsid w:val="00BF4792"/>
    <w:rsid w:val="00BF47F9"/>
    <w:rsid w:val="00BF4980"/>
    <w:rsid w:val="00BF4EAB"/>
    <w:rsid w:val="00BF5395"/>
    <w:rsid w:val="00BF5ACC"/>
    <w:rsid w:val="00BF5BDD"/>
    <w:rsid w:val="00BF5BE2"/>
    <w:rsid w:val="00BF6A5E"/>
    <w:rsid w:val="00BF6D59"/>
    <w:rsid w:val="00BF782C"/>
    <w:rsid w:val="00BF793E"/>
    <w:rsid w:val="00BF7ED2"/>
    <w:rsid w:val="00BF7F1D"/>
    <w:rsid w:val="00C008D1"/>
    <w:rsid w:val="00C00E95"/>
    <w:rsid w:val="00C01082"/>
    <w:rsid w:val="00C01E5C"/>
    <w:rsid w:val="00C01FE6"/>
    <w:rsid w:val="00C02A46"/>
    <w:rsid w:val="00C036ED"/>
    <w:rsid w:val="00C03764"/>
    <w:rsid w:val="00C03FFD"/>
    <w:rsid w:val="00C04593"/>
    <w:rsid w:val="00C05A1C"/>
    <w:rsid w:val="00C05D45"/>
    <w:rsid w:val="00C0611F"/>
    <w:rsid w:val="00C06284"/>
    <w:rsid w:val="00C07014"/>
    <w:rsid w:val="00C070DF"/>
    <w:rsid w:val="00C072A9"/>
    <w:rsid w:val="00C0782C"/>
    <w:rsid w:val="00C07938"/>
    <w:rsid w:val="00C10323"/>
    <w:rsid w:val="00C10B27"/>
    <w:rsid w:val="00C10E58"/>
    <w:rsid w:val="00C11125"/>
    <w:rsid w:val="00C11363"/>
    <w:rsid w:val="00C1140E"/>
    <w:rsid w:val="00C11B06"/>
    <w:rsid w:val="00C11F39"/>
    <w:rsid w:val="00C12625"/>
    <w:rsid w:val="00C12B27"/>
    <w:rsid w:val="00C13019"/>
    <w:rsid w:val="00C132F3"/>
    <w:rsid w:val="00C1418E"/>
    <w:rsid w:val="00C15F93"/>
    <w:rsid w:val="00C1764B"/>
    <w:rsid w:val="00C17B7E"/>
    <w:rsid w:val="00C17BF7"/>
    <w:rsid w:val="00C2008E"/>
    <w:rsid w:val="00C215AA"/>
    <w:rsid w:val="00C22071"/>
    <w:rsid w:val="00C222F2"/>
    <w:rsid w:val="00C228ED"/>
    <w:rsid w:val="00C22BE3"/>
    <w:rsid w:val="00C22DB7"/>
    <w:rsid w:val="00C233B0"/>
    <w:rsid w:val="00C2382B"/>
    <w:rsid w:val="00C23B1E"/>
    <w:rsid w:val="00C24106"/>
    <w:rsid w:val="00C24227"/>
    <w:rsid w:val="00C245B6"/>
    <w:rsid w:val="00C25181"/>
    <w:rsid w:val="00C25AE2"/>
    <w:rsid w:val="00C25B52"/>
    <w:rsid w:val="00C27937"/>
    <w:rsid w:val="00C27CA2"/>
    <w:rsid w:val="00C300E5"/>
    <w:rsid w:val="00C30620"/>
    <w:rsid w:val="00C30D47"/>
    <w:rsid w:val="00C31552"/>
    <w:rsid w:val="00C319A4"/>
    <w:rsid w:val="00C31F3D"/>
    <w:rsid w:val="00C32491"/>
    <w:rsid w:val="00C3274D"/>
    <w:rsid w:val="00C3370E"/>
    <w:rsid w:val="00C3440A"/>
    <w:rsid w:val="00C34BA9"/>
    <w:rsid w:val="00C36010"/>
    <w:rsid w:val="00C37486"/>
    <w:rsid w:val="00C37EBC"/>
    <w:rsid w:val="00C402B1"/>
    <w:rsid w:val="00C40824"/>
    <w:rsid w:val="00C41DE2"/>
    <w:rsid w:val="00C41DE6"/>
    <w:rsid w:val="00C42261"/>
    <w:rsid w:val="00C43189"/>
    <w:rsid w:val="00C43828"/>
    <w:rsid w:val="00C43FD5"/>
    <w:rsid w:val="00C444D7"/>
    <w:rsid w:val="00C44609"/>
    <w:rsid w:val="00C44C79"/>
    <w:rsid w:val="00C451FE"/>
    <w:rsid w:val="00C467D6"/>
    <w:rsid w:val="00C47824"/>
    <w:rsid w:val="00C47EFE"/>
    <w:rsid w:val="00C511CD"/>
    <w:rsid w:val="00C523C2"/>
    <w:rsid w:val="00C5260B"/>
    <w:rsid w:val="00C54834"/>
    <w:rsid w:val="00C552D9"/>
    <w:rsid w:val="00C555B3"/>
    <w:rsid w:val="00C556A6"/>
    <w:rsid w:val="00C557D8"/>
    <w:rsid w:val="00C557E3"/>
    <w:rsid w:val="00C55981"/>
    <w:rsid w:val="00C55E40"/>
    <w:rsid w:val="00C576BB"/>
    <w:rsid w:val="00C57BBE"/>
    <w:rsid w:val="00C620A9"/>
    <w:rsid w:val="00C623E0"/>
    <w:rsid w:val="00C629FD"/>
    <w:rsid w:val="00C6339F"/>
    <w:rsid w:val="00C638B4"/>
    <w:rsid w:val="00C63F25"/>
    <w:rsid w:val="00C643AD"/>
    <w:rsid w:val="00C66C41"/>
    <w:rsid w:val="00C66DF9"/>
    <w:rsid w:val="00C674A1"/>
    <w:rsid w:val="00C70B4B"/>
    <w:rsid w:val="00C70B5C"/>
    <w:rsid w:val="00C70DA7"/>
    <w:rsid w:val="00C70E16"/>
    <w:rsid w:val="00C7130A"/>
    <w:rsid w:val="00C714EF"/>
    <w:rsid w:val="00C72290"/>
    <w:rsid w:val="00C74130"/>
    <w:rsid w:val="00C74AB3"/>
    <w:rsid w:val="00C75560"/>
    <w:rsid w:val="00C75DBC"/>
    <w:rsid w:val="00C76662"/>
    <w:rsid w:val="00C76991"/>
    <w:rsid w:val="00C77C53"/>
    <w:rsid w:val="00C81B7B"/>
    <w:rsid w:val="00C8283A"/>
    <w:rsid w:val="00C832BB"/>
    <w:rsid w:val="00C834C6"/>
    <w:rsid w:val="00C83872"/>
    <w:rsid w:val="00C84518"/>
    <w:rsid w:val="00C84632"/>
    <w:rsid w:val="00C84681"/>
    <w:rsid w:val="00C84798"/>
    <w:rsid w:val="00C84AE0"/>
    <w:rsid w:val="00C860AA"/>
    <w:rsid w:val="00C8683A"/>
    <w:rsid w:val="00C870E3"/>
    <w:rsid w:val="00C879F3"/>
    <w:rsid w:val="00C901B4"/>
    <w:rsid w:val="00C90312"/>
    <w:rsid w:val="00C9066B"/>
    <w:rsid w:val="00C9083B"/>
    <w:rsid w:val="00C91394"/>
    <w:rsid w:val="00C92E3C"/>
    <w:rsid w:val="00C940AA"/>
    <w:rsid w:val="00C9488D"/>
    <w:rsid w:val="00C94FE8"/>
    <w:rsid w:val="00C95CD7"/>
    <w:rsid w:val="00C95D41"/>
    <w:rsid w:val="00C96A45"/>
    <w:rsid w:val="00C96A5D"/>
    <w:rsid w:val="00CA08E5"/>
    <w:rsid w:val="00CA11E9"/>
    <w:rsid w:val="00CA12BA"/>
    <w:rsid w:val="00CA19ED"/>
    <w:rsid w:val="00CA1D0C"/>
    <w:rsid w:val="00CA1D93"/>
    <w:rsid w:val="00CA2277"/>
    <w:rsid w:val="00CA2D59"/>
    <w:rsid w:val="00CA3636"/>
    <w:rsid w:val="00CA4141"/>
    <w:rsid w:val="00CA496E"/>
    <w:rsid w:val="00CA4A62"/>
    <w:rsid w:val="00CA5464"/>
    <w:rsid w:val="00CA5B5F"/>
    <w:rsid w:val="00CA6907"/>
    <w:rsid w:val="00CA7C31"/>
    <w:rsid w:val="00CA7D25"/>
    <w:rsid w:val="00CA7FCB"/>
    <w:rsid w:val="00CB03F1"/>
    <w:rsid w:val="00CB0696"/>
    <w:rsid w:val="00CB1F85"/>
    <w:rsid w:val="00CB248C"/>
    <w:rsid w:val="00CB3840"/>
    <w:rsid w:val="00CB427E"/>
    <w:rsid w:val="00CB4A06"/>
    <w:rsid w:val="00CB5D9C"/>
    <w:rsid w:val="00CB6108"/>
    <w:rsid w:val="00CB6764"/>
    <w:rsid w:val="00CB76FC"/>
    <w:rsid w:val="00CB7A62"/>
    <w:rsid w:val="00CB7E48"/>
    <w:rsid w:val="00CC0398"/>
    <w:rsid w:val="00CC0859"/>
    <w:rsid w:val="00CC09C0"/>
    <w:rsid w:val="00CC1623"/>
    <w:rsid w:val="00CC25E9"/>
    <w:rsid w:val="00CC3526"/>
    <w:rsid w:val="00CC3AC0"/>
    <w:rsid w:val="00CC43E1"/>
    <w:rsid w:val="00CC486F"/>
    <w:rsid w:val="00CC4CF0"/>
    <w:rsid w:val="00CC53E9"/>
    <w:rsid w:val="00CC682B"/>
    <w:rsid w:val="00CC6E3F"/>
    <w:rsid w:val="00CC7439"/>
    <w:rsid w:val="00CD0A76"/>
    <w:rsid w:val="00CD12C7"/>
    <w:rsid w:val="00CD2607"/>
    <w:rsid w:val="00CD2734"/>
    <w:rsid w:val="00CD278A"/>
    <w:rsid w:val="00CD342E"/>
    <w:rsid w:val="00CD3CB2"/>
    <w:rsid w:val="00CD3F1F"/>
    <w:rsid w:val="00CD4CF7"/>
    <w:rsid w:val="00CD6056"/>
    <w:rsid w:val="00CD61E1"/>
    <w:rsid w:val="00CD67B8"/>
    <w:rsid w:val="00CD6C61"/>
    <w:rsid w:val="00CD6DA6"/>
    <w:rsid w:val="00CD74F4"/>
    <w:rsid w:val="00CE0D1C"/>
    <w:rsid w:val="00CE138C"/>
    <w:rsid w:val="00CE19C7"/>
    <w:rsid w:val="00CE22EC"/>
    <w:rsid w:val="00CE333E"/>
    <w:rsid w:val="00CE35E3"/>
    <w:rsid w:val="00CE3C22"/>
    <w:rsid w:val="00CE4D35"/>
    <w:rsid w:val="00CE4FD6"/>
    <w:rsid w:val="00CE5148"/>
    <w:rsid w:val="00CE5F60"/>
    <w:rsid w:val="00CE6719"/>
    <w:rsid w:val="00CE6D47"/>
    <w:rsid w:val="00CE7123"/>
    <w:rsid w:val="00CE7795"/>
    <w:rsid w:val="00CE79AF"/>
    <w:rsid w:val="00CE7EA1"/>
    <w:rsid w:val="00CF01A5"/>
    <w:rsid w:val="00CF02AC"/>
    <w:rsid w:val="00CF031D"/>
    <w:rsid w:val="00CF07E0"/>
    <w:rsid w:val="00CF184D"/>
    <w:rsid w:val="00CF1A93"/>
    <w:rsid w:val="00CF1BA2"/>
    <w:rsid w:val="00CF1E0E"/>
    <w:rsid w:val="00CF2756"/>
    <w:rsid w:val="00CF2CA7"/>
    <w:rsid w:val="00CF337F"/>
    <w:rsid w:val="00CF3BF3"/>
    <w:rsid w:val="00CF3D4C"/>
    <w:rsid w:val="00CF6512"/>
    <w:rsid w:val="00CF6749"/>
    <w:rsid w:val="00CF6A33"/>
    <w:rsid w:val="00CF6AB0"/>
    <w:rsid w:val="00CF6F59"/>
    <w:rsid w:val="00CF70AA"/>
    <w:rsid w:val="00CF71AA"/>
    <w:rsid w:val="00CF7F86"/>
    <w:rsid w:val="00D0059B"/>
    <w:rsid w:val="00D007AA"/>
    <w:rsid w:val="00D026CC"/>
    <w:rsid w:val="00D03113"/>
    <w:rsid w:val="00D03268"/>
    <w:rsid w:val="00D03B44"/>
    <w:rsid w:val="00D04102"/>
    <w:rsid w:val="00D046D1"/>
    <w:rsid w:val="00D04A15"/>
    <w:rsid w:val="00D05234"/>
    <w:rsid w:val="00D0573C"/>
    <w:rsid w:val="00D05D5C"/>
    <w:rsid w:val="00D05E59"/>
    <w:rsid w:val="00D06720"/>
    <w:rsid w:val="00D06AFB"/>
    <w:rsid w:val="00D06FF1"/>
    <w:rsid w:val="00D075BF"/>
    <w:rsid w:val="00D07FF3"/>
    <w:rsid w:val="00D1008A"/>
    <w:rsid w:val="00D10471"/>
    <w:rsid w:val="00D11B61"/>
    <w:rsid w:val="00D12777"/>
    <w:rsid w:val="00D12ECC"/>
    <w:rsid w:val="00D12F00"/>
    <w:rsid w:val="00D1363A"/>
    <w:rsid w:val="00D13F6B"/>
    <w:rsid w:val="00D14712"/>
    <w:rsid w:val="00D150E4"/>
    <w:rsid w:val="00D15BAB"/>
    <w:rsid w:val="00D162C6"/>
    <w:rsid w:val="00D1645D"/>
    <w:rsid w:val="00D165FC"/>
    <w:rsid w:val="00D170C4"/>
    <w:rsid w:val="00D20348"/>
    <w:rsid w:val="00D20501"/>
    <w:rsid w:val="00D20CB5"/>
    <w:rsid w:val="00D21159"/>
    <w:rsid w:val="00D223B7"/>
    <w:rsid w:val="00D22D00"/>
    <w:rsid w:val="00D2357D"/>
    <w:rsid w:val="00D2420B"/>
    <w:rsid w:val="00D24211"/>
    <w:rsid w:val="00D25470"/>
    <w:rsid w:val="00D25A97"/>
    <w:rsid w:val="00D26150"/>
    <w:rsid w:val="00D26FF0"/>
    <w:rsid w:val="00D2720D"/>
    <w:rsid w:val="00D27635"/>
    <w:rsid w:val="00D276DC"/>
    <w:rsid w:val="00D30297"/>
    <w:rsid w:val="00D318B9"/>
    <w:rsid w:val="00D31F9F"/>
    <w:rsid w:val="00D32D8F"/>
    <w:rsid w:val="00D34831"/>
    <w:rsid w:val="00D34E79"/>
    <w:rsid w:val="00D35F89"/>
    <w:rsid w:val="00D360A8"/>
    <w:rsid w:val="00D360FF"/>
    <w:rsid w:val="00D361A8"/>
    <w:rsid w:val="00D3621F"/>
    <w:rsid w:val="00D37C74"/>
    <w:rsid w:val="00D40A94"/>
    <w:rsid w:val="00D40B6D"/>
    <w:rsid w:val="00D40CE3"/>
    <w:rsid w:val="00D41425"/>
    <w:rsid w:val="00D414C4"/>
    <w:rsid w:val="00D4185D"/>
    <w:rsid w:val="00D41AED"/>
    <w:rsid w:val="00D41B8F"/>
    <w:rsid w:val="00D41D2F"/>
    <w:rsid w:val="00D421DF"/>
    <w:rsid w:val="00D423C5"/>
    <w:rsid w:val="00D42B58"/>
    <w:rsid w:val="00D43433"/>
    <w:rsid w:val="00D43554"/>
    <w:rsid w:val="00D43591"/>
    <w:rsid w:val="00D4395F"/>
    <w:rsid w:val="00D44199"/>
    <w:rsid w:val="00D448C8"/>
    <w:rsid w:val="00D449E9"/>
    <w:rsid w:val="00D45FEB"/>
    <w:rsid w:val="00D465DF"/>
    <w:rsid w:val="00D47DE0"/>
    <w:rsid w:val="00D47F78"/>
    <w:rsid w:val="00D510D9"/>
    <w:rsid w:val="00D51104"/>
    <w:rsid w:val="00D516D1"/>
    <w:rsid w:val="00D51966"/>
    <w:rsid w:val="00D5226F"/>
    <w:rsid w:val="00D5257B"/>
    <w:rsid w:val="00D5299B"/>
    <w:rsid w:val="00D52AD1"/>
    <w:rsid w:val="00D53977"/>
    <w:rsid w:val="00D53ECC"/>
    <w:rsid w:val="00D540EB"/>
    <w:rsid w:val="00D54715"/>
    <w:rsid w:val="00D54AFB"/>
    <w:rsid w:val="00D54D16"/>
    <w:rsid w:val="00D555C1"/>
    <w:rsid w:val="00D555D8"/>
    <w:rsid w:val="00D55663"/>
    <w:rsid w:val="00D55DFE"/>
    <w:rsid w:val="00D570DA"/>
    <w:rsid w:val="00D606EB"/>
    <w:rsid w:val="00D60C9C"/>
    <w:rsid w:val="00D60CC8"/>
    <w:rsid w:val="00D61389"/>
    <w:rsid w:val="00D61693"/>
    <w:rsid w:val="00D61963"/>
    <w:rsid w:val="00D62311"/>
    <w:rsid w:val="00D63269"/>
    <w:rsid w:val="00D63AA8"/>
    <w:rsid w:val="00D64E14"/>
    <w:rsid w:val="00D64F48"/>
    <w:rsid w:val="00D65646"/>
    <w:rsid w:val="00D65D94"/>
    <w:rsid w:val="00D66099"/>
    <w:rsid w:val="00D66171"/>
    <w:rsid w:val="00D66682"/>
    <w:rsid w:val="00D6715E"/>
    <w:rsid w:val="00D70DB6"/>
    <w:rsid w:val="00D71261"/>
    <w:rsid w:val="00D715CF"/>
    <w:rsid w:val="00D718C7"/>
    <w:rsid w:val="00D72105"/>
    <w:rsid w:val="00D72449"/>
    <w:rsid w:val="00D73233"/>
    <w:rsid w:val="00D732E4"/>
    <w:rsid w:val="00D743E3"/>
    <w:rsid w:val="00D756EF"/>
    <w:rsid w:val="00D756F0"/>
    <w:rsid w:val="00D7595E"/>
    <w:rsid w:val="00D76921"/>
    <w:rsid w:val="00D77347"/>
    <w:rsid w:val="00D77820"/>
    <w:rsid w:val="00D77E1B"/>
    <w:rsid w:val="00D801A2"/>
    <w:rsid w:val="00D8076E"/>
    <w:rsid w:val="00D80AA4"/>
    <w:rsid w:val="00D8130C"/>
    <w:rsid w:val="00D81EFD"/>
    <w:rsid w:val="00D81F0C"/>
    <w:rsid w:val="00D82700"/>
    <w:rsid w:val="00D82DC0"/>
    <w:rsid w:val="00D83662"/>
    <w:rsid w:val="00D83888"/>
    <w:rsid w:val="00D84A74"/>
    <w:rsid w:val="00D851E1"/>
    <w:rsid w:val="00D859BB"/>
    <w:rsid w:val="00D8641B"/>
    <w:rsid w:val="00D8671F"/>
    <w:rsid w:val="00D869A7"/>
    <w:rsid w:val="00D878A1"/>
    <w:rsid w:val="00D9012D"/>
    <w:rsid w:val="00D901DD"/>
    <w:rsid w:val="00D90224"/>
    <w:rsid w:val="00D904D1"/>
    <w:rsid w:val="00D90E6B"/>
    <w:rsid w:val="00D91605"/>
    <w:rsid w:val="00D9267C"/>
    <w:rsid w:val="00D92857"/>
    <w:rsid w:val="00D92FAA"/>
    <w:rsid w:val="00D93CEB"/>
    <w:rsid w:val="00D94714"/>
    <w:rsid w:val="00D94FD3"/>
    <w:rsid w:val="00D954C0"/>
    <w:rsid w:val="00D95BB5"/>
    <w:rsid w:val="00D960D8"/>
    <w:rsid w:val="00D96985"/>
    <w:rsid w:val="00D97EC0"/>
    <w:rsid w:val="00DA000E"/>
    <w:rsid w:val="00DA080C"/>
    <w:rsid w:val="00DA0E93"/>
    <w:rsid w:val="00DA13DE"/>
    <w:rsid w:val="00DA296C"/>
    <w:rsid w:val="00DA2A27"/>
    <w:rsid w:val="00DA3615"/>
    <w:rsid w:val="00DA3F6C"/>
    <w:rsid w:val="00DA4E02"/>
    <w:rsid w:val="00DA557A"/>
    <w:rsid w:val="00DA5BC0"/>
    <w:rsid w:val="00DA7043"/>
    <w:rsid w:val="00DA7E19"/>
    <w:rsid w:val="00DB012F"/>
    <w:rsid w:val="00DB07B6"/>
    <w:rsid w:val="00DB0C53"/>
    <w:rsid w:val="00DB10A7"/>
    <w:rsid w:val="00DB1961"/>
    <w:rsid w:val="00DB1DBB"/>
    <w:rsid w:val="00DB1EA7"/>
    <w:rsid w:val="00DB253A"/>
    <w:rsid w:val="00DB2566"/>
    <w:rsid w:val="00DB35B2"/>
    <w:rsid w:val="00DB3D2E"/>
    <w:rsid w:val="00DB43F0"/>
    <w:rsid w:val="00DB46A2"/>
    <w:rsid w:val="00DB4F0D"/>
    <w:rsid w:val="00DB553E"/>
    <w:rsid w:val="00DB5579"/>
    <w:rsid w:val="00DB56A3"/>
    <w:rsid w:val="00DB6466"/>
    <w:rsid w:val="00DB6D15"/>
    <w:rsid w:val="00DC04FC"/>
    <w:rsid w:val="00DC0575"/>
    <w:rsid w:val="00DC06C5"/>
    <w:rsid w:val="00DC0A7A"/>
    <w:rsid w:val="00DC12F7"/>
    <w:rsid w:val="00DC1B34"/>
    <w:rsid w:val="00DC2665"/>
    <w:rsid w:val="00DC2DDD"/>
    <w:rsid w:val="00DC2EBD"/>
    <w:rsid w:val="00DC3022"/>
    <w:rsid w:val="00DC3B48"/>
    <w:rsid w:val="00DC6561"/>
    <w:rsid w:val="00DC6B56"/>
    <w:rsid w:val="00DC6B57"/>
    <w:rsid w:val="00DC7424"/>
    <w:rsid w:val="00DC7584"/>
    <w:rsid w:val="00DC7BAB"/>
    <w:rsid w:val="00DD0F08"/>
    <w:rsid w:val="00DD204E"/>
    <w:rsid w:val="00DD33F6"/>
    <w:rsid w:val="00DD4662"/>
    <w:rsid w:val="00DD5E90"/>
    <w:rsid w:val="00DD61F2"/>
    <w:rsid w:val="00DD6226"/>
    <w:rsid w:val="00DD625F"/>
    <w:rsid w:val="00DD6289"/>
    <w:rsid w:val="00DD6626"/>
    <w:rsid w:val="00DD718A"/>
    <w:rsid w:val="00DD7347"/>
    <w:rsid w:val="00DD75A0"/>
    <w:rsid w:val="00DE019A"/>
    <w:rsid w:val="00DE059E"/>
    <w:rsid w:val="00DE088A"/>
    <w:rsid w:val="00DE0998"/>
    <w:rsid w:val="00DE175C"/>
    <w:rsid w:val="00DE1992"/>
    <w:rsid w:val="00DE1AFB"/>
    <w:rsid w:val="00DE20B8"/>
    <w:rsid w:val="00DE2404"/>
    <w:rsid w:val="00DE24B5"/>
    <w:rsid w:val="00DE2CDC"/>
    <w:rsid w:val="00DE2D09"/>
    <w:rsid w:val="00DE31A0"/>
    <w:rsid w:val="00DE394F"/>
    <w:rsid w:val="00DE3F77"/>
    <w:rsid w:val="00DE402F"/>
    <w:rsid w:val="00DE467F"/>
    <w:rsid w:val="00DE4741"/>
    <w:rsid w:val="00DE4A99"/>
    <w:rsid w:val="00DE53DD"/>
    <w:rsid w:val="00DE79FA"/>
    <w:rsid w:val="00DE7C4A"/>
    <w:rsid w:val="00DF01FE"/>
    <w:rsid w:val="00DF0286"/>
    <w:rsid w:val="00DF0CBC"/>
    <w:rsid w:val="00DF1B25"/>
    <w:rsid w:val="00DF268E"/>
    <w:rsid w:val="00DF2BF0"/>
    <w:rsid w:val="00DF3F06"/>
    <w:rsid w:val="00DF45C2"/>
    <w:rsid w:val="00DF4D3B"/>
    <w:rsid w:val="00DF5F4B"/>
    <w:rsid w:val="00DF6955"/>
    <w:rsid w:val="00DF700D"/>
    <w:rsid w:val="00DF76F5"/>
    <w:rsid w:val="00DF79B3"/>
    <w:rsid w:val="00DF7B8F"/>
    <w:rsid w:val="00DF7CA9"/>
    <w:rsid w:val="00E0079D"/>
    <w:rsid w:val="00E00BCD"/>
    <w:rsid w:val="00E0213F"/>
    <w:rsid w:val="00E024C4"/>
    <w:rsid w:val="00E03251"/>
    <w:rsid w:val="00E039D9"/>
    <w:rsid w:val="00E03B4F"/>
    <w:rsid w:val="00E0621D"/>
    <w:rsid w:val="00E06651"/>
    <w:rsid w:val="00E0693E"/>
    <w:rsid w:val="00E06B4B"/>
    <w:rsid w:val="00E07498"/>
    <w:rsid w:val="00E07548"/>
    <w:rsid w:val="00E07851"/>
    <w:rsid w:val="00E101FA"/>
    <w:rsid w:val="00E104D8"/>
    <w:rsid w:val="00E106F4"/>
    <w:rsid w:val="00E10967"/>
    <w:rsid w:val="00E1120E"/>
    <w:rsid w:val="00E113AF"/>
    <w:rsid w:val="00E12655"/>
    <w:rsid w:val="00E13A16"/>
    <w:rsid w:val="00E1417F"/>
    <w:rsid w:val="00E1449F"/>
    <w:rsid w:val="00E1465C"/>
    <w:rsid w:val="00E14785"/>
    <w:rsid w:val="00E149EE"/>
    <w:rsid w:val="00E14E71"/>
    <w:rsid w:val="00E15739"/>
    <w:rsid w:val="00E16909"/>
    <w:rsid w:val="00E169DA"/>
    <w:rsid w:val="00E16BD6"/>
    <w:rsid w:val="00E1742C"/>
    <w:rsid w:val="00E20023"/>
    <w:rsid w:val="00E203E7"/>
    <w:rsid w:val="00E205C1"/>
    <w:rsid w:val="00E20656"/>
    <w:rsid w:val="00E20957"/>
    <w:rsid w:val="00E20A46"/>
    <w:rsid w:val="00E20C61"/>
    <w:rsid w:val="00E2118E"/>
    <w:rsid w:val="00E2119F"/>
    <w:rsid w:val="00E221C6"/>
    <w:rsid w:val="00E23125"/>
    <w:rsid w:val="00E256F7"/>
    <w:rsid w:val="00E25C55"/>
    <w:rsid w:val="00E25D99"/>
    <w:rsid w:val="00E2707E"/>
    <w:rsid w:val="00E27616"/>
    <w:rsid w:val="00E278CE"/>
    <w:rsid w:val="00E30ABA"/>
    <w:rsid w:val="00E31B32"/>
    <w:rsid w:val="00E321F9"/>
    <w:rsid w:val="00E32D79"/>
    <w:rsid w:val="00E33096"/>
    <w:rsid w:val="00E33302"/>
    <w:rsid w:val="00E33786"/>
    <w:rsid w:val="00E342AE"/>
    <w:rsid w:val="00E35256"/>
    <w:rsid w:val="00E35B07"/>
    <w:rsid w:val="00E35C3F"/>
    <w:rsid w:val="00E36461"/>
    <w:rsid w:val="00E36A48"/>
    <w:rsid w:val="00E37C96"/>
    <w:rsid w:val="00E37F30"/>
    <w:rsid w:val="00E400B9"/>
    <w:rsid w:val="00E41191"/>
    <w:rsid w:val="00E41314"/>
    <w:rsid w:val="00E41FF3"/>
    <w:rsid w:val="00E42178"/>
    <w:rsid w:val="00E4261A"/>
    <w:rsid w:val="00E42C76"/>
    <w:rsid w:val="00E42F10"/>
    <w:rsid w:val="00E43F65"/>
    <w:rsid w:val="00E441E5"/>
    <w:rsid w:val="00E444AF"/>
    <w:rsid w:val="00E44542"/>
    <w:rsid w:val="00E45A7F"/>
    <w:rsid w:val="00E4629B"/>
    <w:rsid w:val="00E463B8"/>
    <w:rsid w:val="00E46F3A"/>
    <w:rsid w:val="00E47A69"/>
    <w:rsid w:val="00E5003D"/>
    <w:rsid w:val="00E50DB5"/>
    <w:rsid w:val="00E511CB"/>
    <w:rsid w:val="00E51345"/>
    <w:rsid w:val="00E515BE"/>
    <w:rsid w:val="00E519BD"/>
    <w:rsid w:val="00E51A65"/>
    <w:rsid w:val="00E5202C"/>
    <w:rsid w:val="00E5278D"/>
    <w:rsid w:val="00E5320F"/>
    <w:rsid w:val="00E53817"/>
    <w:rsid w:val="00E54112"/>
    <w:rsid w:val="00E553DC"/>
    <w:rsid w:val="00E558F8"/>
    <w:rsid w:val="00E572FD"/>
    <w:rsid w:val="00E60169"/>
    <w:rsid w:val="00E605CF"/>
    <w:rsid w:val="00E611D7"/>
    <w:rsid w:val="00E61270"/>
    <w:rsid w:val="00E6129F"/>
    <w:rsid w:val="00E61553"/>
    <w:rsid w:val="00E615CD"/>
    <w:rsid w:val="00E61736"/>
    <w:rsid w:val="00E63010"/>
    <w:rsid w:val="00E63566"/>
    <w:rsid w:val="00E63F84"/>
    <w:rsid w:val="00E644EE"/>
    <w:rsid w:val="00E648AC"/>
    <w:rsid w:val="00E65450"/>
    <w:rsid w:val="00E66526"/>
    <w:rsid w:val="00E66551"/>
    <w:rsid w:val="00E66EB2"/>
    <w:rsid w:val="00E678AA"/>
    <w:rsid w:val="00E67A09"/>
    <w:rsid w:val="00E67CBF"/>
    <w:rsid w:val="00E700E3"/>
    <w:rsid w:val="00E70988"/>
    <w:rsid w:val="00E70E15"/>
    <w:rsid w:val="00E70E70"/>
    <w:rsid w:val="00E71539"/>
    <w:rsid w:val="00E7171D"/>
    <w:rsid w:val="00E71E2C"/>
    <w:rsid w:val="00E72E68"/>
    <w:rsid w:val="00E73C4B"/>
    <w:rsid w:val="00E74F65"/>
    <w:rsid w:val="00E761E0"/>
    <w:rsid w:val="00E7664D"/>
    <w:rsid w:val="00E76B6D"/>
    <w:rsid w:val="00E77BEE"/>
    <w:rsid w:val="00E77C6A"/>
    <w:rsid w:val="00E81404"/>
    <w:rsid w:val="00E8222C"/>
    <w:rsid w:val="00E82407"/>
    <w:rsid w:val="00E8249E"/>
    <w:rsid w:val="00E825B1"/>
    <w:rsid w:val="00E82AD3"/>
    <w:rsid w:val="00E82AFB"/>
    <w:rsid w:val="00E82ECD"/>
    <w:rsid w:val="00E82EFE"/>
    <w:rsid w:val="00E83B46"/>
    <w:rsid w:val="00E83C0F"/>
    <w:rsid w:val="00E83C97"/>
    <w:rsid w:val="00E848F3"/>
    <w:rsid w:val="00E84B84"/>
    <w:rsid w:val="00E84D29"/>
    <w:rsid w:val="00E84FB8"/>
    <w:rsid w:val="00E8522A"/>
    <w:rsid w:val="00E8557D"/>
    <w:rsid w:val="00E865DB"/>
    <w:rsid w:val="00E904EE"/>
    <w:rsid w:val="00E90E3C"/>
    <w:rsid w:val="00E91A9D"/>
    <w:rsid w:val="00E91B21"/>
    <w:rsid w:val="00E927AC"/>
    <w:rsid w:val="00E92989"/>
    <w:rsid w:val="00E93BB3"/>
    <w:rsid w:val="00E940F4"/>
    <w:rsid w:val="00E94FB9"/>
    <w:rsid w:val="00E954D9"/>
    <w:rsid w:val="00E95E95"/>
    <w:rsid w:val="00E96072"/>
    <w:rsid w:val="00E9673D"/>
    <w:rsid w:val="00E96D1E"/>
    <w:rsid w:val="00E96DE8"/>
    <w:rsid w:val="00E97D0E"/>
    <w:rsid w:val="00EA009D"/>
    <w:rsid w:val="00EA1840"/>
    <w:rsid w:val="00EA212B"/>
    <w:rsid w:val="00EA3968"/>
    <w:rsid w:val="00EA3998"/>
    <w:rsid w:val="00EA3F7E"/>
    <w:rsid w:val="00EA47FF"/>
    <w:rsid w:val="00EA485F"/>
    <w:rsid w:val="00EA48D2"/>
    <w:rsid w:val="00EA5440"/>
    <w:rsid w:val="00EA748F"/>
    <w:rsid w:val="00EB06AE"/>
    <w:rsid w:val="00EB11AB"/>
    <w:rsid w:val="00EB1308"/>
    <w:rsid w:val="00EB1950"/>
    <w:rsid w:val="00EB1C6A"/>
    <w:rsid w:val="00EB327A"/>
    <w:rsid w:val="00EB3684"/>
    <w:rsid w:val="00EB3874"/>
    <w:rsid w:val="00EB3A76"/>
    <w:rsid w:val="00EB41FD"/>
    <w:rsid w:val="00EB42B9"/>
    <w:rsid w:val="00EB45F0"/>
    <w:rsid w:val="00EB4C01"/>
    <w:rsid w:val="00EB53DE"/>
    <w:rsid w:val="00EB629D"/>
    <w:rsid w:val="00EB647A"/>
    <w:rsid w:val="00EB6D8D"/>
    <w:rsid w:val="00EB71F7"/>
    <w:rsid w:val="00EB77E2"/>
    <w:rsid w:val="00EB78A5"/>
    <w:rsid w:val="00EC00FA"/>
    <w:rsid w:val="00EC0875"/>
    <w:rsid w:val="00EC0AD0"/>
    <w:rsid w:val="00EC1543"/>
    <w:rsid w:val="00EC2263"/>
    <w:rsid w:val="00EC2F05"/>
    <w:rsid w:val="00EC36AF"/>
    <w:rsid w:val="00EC3CE5"/>
    <w:rsid w:val="00EC4491"/>
    <w:rsid w:val="00EC4694"/>
    <w:rsid w:val="00EC47CC"/>
    <w:rsid w:val="00EC49B4"/>
    <w:rsid w:val="00EC4D3B"/>
    <w:rsid w:val="00EC52A8"/>
    <w:rsid w:val="00EC5811"/>
    <w:rsid w:val="00EC5B4F"/>
    <w:rsid w:val="00EC5CA7"/>
    <w:rsid w:val="00EC76C6"/>
    <w:rsid w:val="00EC7A19"/>
    <w:rsid w:val="00EC7D35"/>
    <w:rsid w:val="00ED00C8"/>
    <w:rsid w:val="00ED01C2"/>
    <w:rsid w:val="00ED01E1"/>
    <w:rsid w:val="00ED057E"/>
    <w:rsid w:val="00ED0C43"/>
    <w:rsid w:val="00ED1486"/>
    <w:rsid w:val="00ED1C12"/>
    <w:rsid w:val="00ED3121"/>
    <w:rsid w:val="00ED3155"/>
    <w:rsid w:val="00ED3CF9"/>
    <w:rsid w:val="00ED4104"/>
    <w:rsid w:val="00ED4981"/>
    <w:rsid w:val="00ED5981"/>
    <w:rsid w:val="00ED5C25"/>
    <w:rsid w:val="00ED6B6B"/>
    <w:rsid w:val="00ED7EA6"/>
    <w:rsid w:val="00EE123B"/>
    <w:rsid w:val="00EE1299"/>
    <w:rsid w:val="00EE3741"/>
    <w:rsid w:val="00EE4981"/>
    <w:rsid w:val="00EE5A71"/>
    <w:rsid w:val="00EE6B69"/>
    <w:rsid w:val="00EE797E"/>
    <w:rsid w:val="00EE7D67"/>
    <w:rsid w:val="00EE7F1E"/>
    <w:rsid w:val="00EF09AB"/>
    <w:rsid w:val="00EF0BB4"/>
    <w:rsid w:val="00EF0D8D"/>
    <w:rsid w:val="00EF1A5B"/>
    <w:rsid w:val="00EF1C46"/>
    <w:rsid w:val="00EF204E"/>
    <w:rsid w:val="00EF20FD"/>
    <w:rsid w:val="00EF3186"/>
    <w:rsid w:val="00EF41B0"/>
    <w:rsid w:val="00EF4761"/>
    <w:rsid w:val="00EF4CE2"/>
    <w:rsid w:val="00EF7545"/>
    <w:rsid w:val="00EF7FC8"/>
    <w:rsid w:val="00F00038"/>
    <w:rsid w:val="00F007EC"/>
    <w:rsid w:val="00F00A45"/>
    <w:rsid w:val="00F01073"/>
    <w:rsid w:val="00F017B8"/>
    <w:rsid w:val="00F01AB1"/>
    <w:rsid w:val="00F01D14"/>
    <w:rsid w:val="00F02C17"/>
    <w:rsid w:val="00F03963"/>
    <w:rsid w:val="00F04875"/>
    <w:rsid w:val="00F05644"/>
    <w:rsid w:val="00F05D05"/>
    <w:rsid w:val="00F06353"/>
    <w:rsid w:val="00F06481"/>
    <w:rsid w:val="00F06931"/>
    <w:rsid w:val="00F07221"/>
    <w:rsid w:val="00F076CA"/>
    <w:rsid w:val="00F07A46"/>
    <w:rsid w:val="00F10F4D"/>
    <w:rsid w:val="00F11F2B"/>
    <w:rsid w:val="00F11F98"/>
    <w:rsid w:val="00F1256E"/>
    <w:rsid w:val="00F12A99"/>
    <w:rsid w:val="00F14841"/>
    <w:rsid w:val="00F1497F"/>
    <w:rsid w:val="00F14EF3"/>
    <w:rsid w:val="00F15A9A"/>
    <w:rsid w:val="00F20689"/>
    <w:rsid w:val="00F20C59"/>
    <w:rsid w:val="00F20E67"/>
    <w:rsid w:val="00F21150"/>
    <w:rsid w:val="00F213A9"/>
    <w:rsid w:val="00F215A0"/>
    <w:rsid w:val="00F222AE"/>
    <w:rsid w:val="00F222DB"/>
    <w:rsid w:val="00F23115"/>
    <w:rsid w:val="00F23885"/>
    <w:rsid w:val="00F24802"/>
    <w:rsid w:val="00F2506F"/>
    <w:rsid w:val="00F25D9A"/>
    <w:rsid w:val="00F25EF3"/>
    <w:rsid w:val="00F264A4"/>
    <w:rsid w:val="00F26B6F"/>
    <w:rsid w:val="00F26DE2"/>
    <w:rsid w:val="00F26EF2"/>
    <w:rsid w:val="00F2731B"/>
    <w:rsid w:val="00F276C7"/>
    <w:rsid w:val="00F27A38"/>
    <w:rsid w:val="00F27CFE"/>
    <w:rsid w:val="00F3053F"/>
    <w:rsid w:val="00F30830"/>
    <w:rsid w:val="00F30D34"/>
    <w:rsid w:val="00F31EC0"/>
    <w:rsid w:val="00F32027"/>
    <w:rsid w:val="00F3268E"/>
    <w:rsid w:val="00F32914"/>
    <w:rsid w:val="00F3315F"/>
    <w:rsid w:val="00F34B9A"/>
    <w:rsid w:val="00F3538E"/>
    <w:rsid w:val="00F357F0"/>
    <w:rsid w:val="00F35CC0"/>
    <w:rsid w:val="00F3608D"/>
    <w:rsid w:val="00F3675C"/>
    <w:rsid w:val="00F36991"/>
    <w:rsid w:val="00F36B98"/>
    <w:rsid w:val="00F37A18"/>
    <w:rsid w:val="00F37F95"/>
    <w:rsid w:val="00F4011F"/>
    <w:rsid w:val="00F4022A"/>
    <w:rsid w:val="00F40793"/>
    <w:rsid w:val="00F418ED"/>
    <w:rsid w:val="00F422A9"/>
    <w:rsid w:val="00F42DD4"/>
    <w:rsid w:val="00F431CE"/>
    <w:rsid w:val="00F4495A"/>
    <w:rsid w:val="00F44B6F"/>
    <w:rsid w:val="00F4566D"/>
    <w:rsid w:val="00F458DB"/>
    <w:rsid w:val="00F461F2"/>
    <w:rsid w:val="00F4623C"/>
    <w:rsid w:val="00F47E39"/>
    <w:rsid w:val="00F503F5"/>
    <w:rsid w:val="00F50D7F"/>
    <w:rsid w:val="00F51669"/>
    <w:rsid w:val="00F51BA1"/>
    <w:rsid w:val="00F51DD6"/>
    <w:rsid w:val="00F52101"/>
    <w:rsid w:val="00F52936"/>
    <w:rsid w:val="00F52C97"/>
    <w:rsid w:val="00F53813"/>
    <w:rsid w:val="00F540FB"/>
    <w:rsid w:val="00F54DB7"/>
    <w:rsid w:val="00F55BA4"/>
    <w:rsid w:val="00F56162"/>
    <w:rsid w:val="00F56C2D"/>
    <w:rsid w:val="00F5712C"/>
    <w:rsid w:val="00F577AB"/>
    <w:rsid w:val="00F60DFD"/>
    <w:rsid w:val="00F61167"/>
    <w:rsid w:val="00F61A11"/>
    <w:rsid w:val="00F6267F"/>
    <w:rsid w:val="00F62DCA"/>
    <w:rsid w:val="00F62FEE"/>
    <w:rsid w:val="00F632BA"/>
    <w:rsid w:val="00F632F0"/>
    <w:rsid w:val="00F63DD7"/>
    <w:rsid w:val="00F642B0"/>
    <w:rsid w:val="00F65C58"/>
    <w:rsid w:val="00F67670"/>
    <w:rsid w:val="00F67809"/>
    <w:rsid w:val="00F67CDA"/>
    <w:rsid w:val="00F70381"/>
    <w:rsid w:val="00F71916"/>
    <w:rsid w:val="00F719D3"/>
    <w:rsid w:val="00F71D92"/>
    <w:rsid w:val="00F725BA"/>
    <w:rsid w:val="00F73F9E"/>
    <w:rsid w:val="00F73FB0"/>
    <w:rsid w:val="00F7407C"/>
    <w:rsid w:val="00F74599"/>
    <w:rsid w:val="00F746D9"/>
    <w:rsid w:val="00F74E11"/>
    <w:rsid w:val="00F80414"/>
    <w:rsid w:val="00F80A2A"/>
    <w:rsid w:val="00F80AB2"/>
    <w:rsid w:val="00F80C78"/>
    <w:rsid w:val="00F80CBA"/>
    <w:rsid w:val="00F80FC1"/>
    <w:rsid w:val="00F811B6"/>
    <w:rsid w:val="00F81685"/>
    <w:rsid w:val="00F81FAC"/>
    <w:rsid w:val="00F822CA"/>
    <w:rsid w:val="00F82D45"/>
    <w:rsid w:val="00F82FAF"/>
    <w:rsid w:val="00F83112"/>
    <w:rsid w:val="00F836FE"/>
    <w:rsid w:val="00F838D4"/>
    <w:rsid w:val="00F840C3"/>
    <w:rsid w:val="00F8525F"/>
    <w:rsid w:val="00F8546E"/>
    <w:rsid w:val="00F86981"/>
    <w:rsid w:val="00F86ABD"/>
    <w:rsid w:val="00F87443"/>
    <w:rsid w:val="00F87A84"/>
    <w:rsid w:val="00F9002C"/>
    <w:rsid w:val="00F900F4"/>
    <w:rsid w:val="00F907ED"/>
    <w:rsid w:val="00F90E4E"/>
    <w:rsid w:val="00F913B5"/>
    <w:rsid w:val="00F926F4"/>
    <w:rsid w:val="00F92CFB"/>
    <w:rsid w:val="00F93977"/>
    <w:rsid w:val="00F94613"/>
    <w:rsid w:val="00F94DC5"/>
    <w:rsid w:val="00F95727"/>
    <w:rsid w:val="00F96DE8"/>
    <w:rsid w:val="00F97910"/>
    <w:rsid w:val="00F97A38"/>
    <w:rsid w:val="00F97A70"/>
    <w:rsid w:val="00F97DB1"/>
    <w:rsid w:val="00F97FF1"/>
    <w:rsid w:val="00FA0430"/>
    <w:rsid w:val="00FA2B8B"/>
    <w:rsid w:val="00FA2B8D"/>
    <w:rsid w:val="00FA47B9"/>
    <w:rsid w:val="00FA5A35"/>
    <w:rsid w:val="00FA6170"/>
    <w:rsid w:val="00FA6323"/>
    <w:rsid w:val="00FA7C2B"/>
    <w:rsid w:val="00FB067C"/>
    <w:rsid w:val="00FB0E75"/>
    <w:rsid w:val="00FB1224"/>
    <w:rsid w:val="00FB2B66"/>
    <w:rsid w:val="00FB319C"/>
    <w:rsid w:val="00FB33F0"/>
    <w:rsid w:val="00FB3D71"/>
    <w:rsid w:val="00FB3EAC"/>
    <w:rsid w:val="00FB3ECD"/>
    <w:rsid w:val="00FB6F60"/>
    <w:rsid w:val="00FB7177"/>
    <w:rsid w:val="00FC06D2"/>
    <w:rsid w:val="00FC0CB2"/>
    <w:rsid w:val="00FC1B87"/>
    <w:rsid w:val="00FC1BD5"/>
    <w:rsid w:val="00FC29FC"/>
    <w:rsid w:val="00FC2DDF"/>
    <w:rsid w:val="00FC3294"/>
    <w:rsid w:val="00FC349F"/>
    <w:rsid w:val="00FC3F96"/>
    <w:rsid w:val="00FC4AFA"/>
    <w:rsid w:val="00FC516D"/>
    <w:rsid w:val="00FC5207"/>
    <w:rsid w:val="00FC554D"/>
    <w:rsid w:val="00FC57F1"/>
    <w:rsid w:val="00FC5E40"/>
    <w:rsid w:val="00FC680E"/>
    <w:rsid w:val="00FC79DB"/>
    <w:rsid w:val="00FC7A5E"/>
    <w:rsid w:val="00FC7B1C"/>
    <w:rsid w:val="00FC7F28"/>
    <w:rsid w:val="00FD004E"/>
    <w:rsid w:val="00FD052B"/>
    <w:rsid w:val="00FD08CE"/>
    <w:rsid w:val="00FD12D8"/>
    <w:rsid w:val="00FD1CBF"/>
    <w:rsid w:val="00FD1EF2"/>
    <w:rsid w:val="00FD21D5"/>
    <w:rsid w:val="00FD22C7"/>
    <w:rsid w:val="00FD3593"/>
    <w:rsid w:val="00FD4026"/>
    <w:rsid w:val="00FD4330"/>
    <w:rsid w:val="00FD4392"/>
    <w:rsid w:val="00FD52F8"/>
    <w:rsid w:val="00FD5477"/>
    <w:rsid w:val="00FD59F8"/>
    <w:rsid w:val="00FD63B3"/>
    <w:rsid w:val="00FD6E81"/>
    <w:rsid w:val="00FD6F6F"/>
    <w:rsid w:val="00FD70B4"/>
    <w:rsid w:val="00FD750E"/>
    <w:rsid w:val="00FE0DB5"/>
    <w:rsid w:val="00FE1E17"/>
    <w:rsid w:val="00FE28DF"/>
    <w:rsid w:val="00FE3B8B"/>
    <w:rsid w:val="00FE3F4B"/>
    <w:rsid w:val="00FE414A"/>
    <w:rsid w:val="00FE51EB"/>
    <w:rsid w:val="00FE601F"/>
    <w:rsid w:val="00FE633A"/>
    <w:rsid w:val="00FE7E41"/>
    <w:rsid w:val="00FF012A"/>
    <w:rsid w:val="00FF074B"/>
    <w:rsid w:val="00FF184A"/>
    <w:rsid w:val="00FF20CE"/>
    <w:rsid w:val="00FF342B"/>
    <w:rsid w:val="00FF3A1E"/>
    <w:rsid w:val="00FF44D6"/>
    <w:rsid w:val="00FF4956"/>
    <w:rsid w:val="00FF4A09"/>
    <w:rsid w:val="00FF6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6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4B6"/>
    <w:rPr>
      <w:sz w:val="24"/>
      <w:szCs w:val="24"/>
      <w:lang w:val="de-DE" w:eastAsia="de-DE"/>
    </w:rPr>
  </w:style>
  <w:style w:type="paragraph" w:styleId="berschrift1">
    <w:name w:val="heading 1"/>
    <w:basedOn w:val="Standard"/>
    <w:next w:val="Textkrper"/>
    <w:qFormat/>
    <w:rsid w:val="003F1675"/>
    <w:pPr>
      <w:keepNext/>
      <w:keepLines/>
      <w:suppressAutoHyphens/>
      <w:spacing w:line="480" w:lineRule="auto"/>
      <w:jc w:val="center"/>
      <w:outlineLvl w:val="0"/>
    </w:pPr>
    <w:rPr>
      <w:rFonts w:cs="Arial"/>
      <w:bCs/>
      <w:szCs w:val="32"/>
      <w:lang w:val="en-US" w:eastAsia="en-US"/>
    </w:rPr>
  </w:style>
  <w:style w:type="paragraph" w:styleId="berschrift2">
    <w:name w:val="heading 2"/>
    <w:basedOn w:val="Standard"/>
    <w:next w:val="Textkrper"/>
    <w:qFormat/>
    <w:rsid w:val="003F1675"/>
    <w:pPr>
      <w:keepNext/>
      <w:keepLines/>
      <w:suppressAutoHyphens/>
      <w:spacing w:line="480" w:lineRule="auto"/>
      <w:jc w:val="center"/>
      <w:outlineLvl w:val="1"/>
    </w:pPr>
    <w:rPr>
      <w:rFonts w:cs="Arial"/>
      <w:bCs/>
      <w:i/>
      <w:iCs/>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724B6"/>
    <w:rPr>
      <w:color w:val="0000FF"/>
      <w:u w:val="single"/>
    </w:rPr>
  </w:style>
  <w:style w:type="table" w:styleId="TabelleListe3">
    <w:name w:val="Table List 3"/>
    <w:basedOn w:val="NormaleTabelle"/>
    <w:rsid w:val="009E46AF"/>
    <w:pPr>
      <w:spacing w:line="48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nraster">
    <w:name w:val="Table Grid"/>
    <w:basedOn w:val="NormaleTabelle"/>
    <w:uiPriority w:val="59"/>
    <w:rsid w:val="00E3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8759CA"/>
    <w:pPr>
      <w:tabs>
        <w:tab w:val="center" w:pos="4536"/>
        <w:tab w:val="right" w:pos="9072"/>
      </w:tabs>
    </w:pPr>
  </w:style>
  <w:style w:type="character" w:styleId="Seitenzahl">
    <w:name w:val="page number"/>
    <w:basedOn w:val="Absatz-Standardschriftart"/>
    <w:rsid w:val="008759CA"/>
  </w:style>
  <w:style w:type="paragraph" w:styleId="Kopfzeile">
    <w:name w:val="header"/>
    <w:basedOn w:val="Standard"/>
    <w:rsid w:val="003F1675"/>
    <w:pPr>
      <w:tabs>
        <w:tab w:val="right" w:pos="8640"/>
        <w:tab w:val="right" w:pos="9360"/>
      </w:tabs>
      <w:suppressAutoHyphens/>
      <w:spacing w:line="480" w:lineRule="auto"/>
    </w:pPr>
    <w:rPr>
      <w:lang w:val="en-US" w:eastAsia="en-US"/>
    </w:rPr>
  </w:style>
  <w:style w:type="paragraph" w:styleId="Textkrper">
    <w:name w:val="Body Text"/>
    <w:basedOn w:val="Standard"/>
    <w:rsid w:val="003F1675"/>
    <w:pPr>
      <w:spacing w:after="120"/>
    </w:pPr>
  </w:style>
  <w:style w:type="paragraph" w:styleId="Aufzhlungszeichen">
    <w:name w:val="List Bullet"/>
    <w:basedOn w:val="Standard"/>
    <w:link w:val="AufzhlungszeichenZchn"/>
    <w:autoRedefine/>
    <w:rsid w:val="00B73DC7"/>
    <w:pPr>
      <w:numPr>
        <w:numId w:val="2"/>
      </w:numPr>
    </w:pPr>
  </w:style>
  <w:style w:type="character" w:customStyle="1" w:styleId="AufzhlungszeichenZchn">
    <w:name w:val="Aufzählungszeichen Zchn"/>
    <w:basedOn w:val="Absatz-Standardschriftart"/>
    <w:link w:val="Aufzhlungszeichen"/>
    <w:rsid w:val="00B73DC7"/>
    <w:rPr>
      <w:sz w:val="24"/>
      <w:szCs w:val="24"/>
      <w:lang w:val="de-DE" w:eastAsia="de-DE" w:bidi="ar-SA"/>
    </w:rPr>
  </w:style>
  <w:style w:type="character" w:styleId="BesuchterHyperlink">
    <w:name w:val="FollowedHyperlink"/>
    <w:basedOn w:val="Absatz-Standardschriftart"/>
    <w:rsid w:val="00E07548"/>
    <w:rPr>
      <w:color w:val="800080"/>
      <w:u w:val="single"/>
    </w:rPr>
  </w:style>
  <w:style w:type="paragraph" w:customStyle="1" w:styleId="DecimalAligned">
    <w:name w:val="Decimal Aligned"/>
    <w:basedOn w:val="Standard"/>
    <w:uiPriority w:val="40"/>
    <w:qFormat/>
    <w:rsid w:val="00A71A2B"/>
    <w:pPr>
      <w:tabs>
        <w:tab w:val="decimal" w:pos="360"/>
      </w:tabs>
      <w:spacing w:after="200" w:line="276" w:lineRule="auto"/>
    </w:pPr>
    <w:rPr>
      <w:rFonts w:ascii="Calibri" w:hAnsi="Calibri"/>
      <w:sz w:val="22"/>
      <w:szCs w:val="22"/>
      <w:lang w:eastAsia="en-US"/>
    </w:rPr>
  </w:style>
  <w:style w:type="paragraph" w:styleId="Funotentext">
    <w:name w:val="footnote text"/>
    <w:basedOn w:val="Standard"/>
    <w:link w:val="FunotentextZchn"/>
    <w:uiPriority w:val="99"/>
    <w:unhideWhenUsed/>
    <w:rsid w:val="00A71A2B"/>
    <w:rPr>
      <w:rFonts w:ascii="Calibri" w:hAnsi="Calibri"/>
      <w:sz w:val="20"/>
      <w:szCs w:val="20"/>
      <w:lang w:eastAsia="en-US"/>
    </w:rPr>
  </w:style>
  <w:style w:type="character" w:customStyle="1" w:styleId="FunotentextZchn">
    <w:name w:val="Fußnotentext Zchn"/>
    <w:basedOn w:val="Absatz-Standardschriftart"/>
    <w:link w:val="Funotentext"/>
    <w:uiPriority w:val="99"/>
    <w:rsid w:val="00A71A2B"/>
    <w:rPr>
      <w:rFonts w:ascii="Calibri" w:eastAsia="Times New Roman" w:hAnsi="Calibri" w:cs="Times New Roman"/>
      <w:lang w:eastAsia="en-US"/>
    </w:rPr>
  </w:style>
  <w:style w:type="character" w:styleId="SchwacheHervorhebung">
    <w:name w:val="Subtle Emphasis"/>
    <w:basedOn w:val="Absatz-Standardschriftart"/>
    <w:uiPriority w:val="19"/>
    <w:qFormat/>
    <w:rsid w:val="00A71A2B"/>
    <w:rPr>
      <w:rFonts w:eastAsia="Times New Roman" w:cs="Times New Roman"/>
      <w:bCs w:val="0"/>
      <w:i/>
      <w:iCs/>
      <w:color w:val="808080"/>
      <w:szCs w:val="22"/>
      <w:lang w:val="de-DE"/>
    </w:rPr>
  </w:style>
  <w:style w:type="table" w:customStyle="1" w:styleId="HelleSchattierung-Akzent11">
    <w:name w:val="Helle Schattierung - Akzent 11"/>
    <w:basedOn w:val="NormaleTabelle"/>
    <w:uiPriority w:val="60"/>
    <w:rsid w:val="00A71A2B"/>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ongtext">
    <w:name w:val="long_text"/>
    <w:basedOn w:val="Absatz-Standardschriftart"/>
    <w:rsid w:val="004D3391"/>
  </w:style>
  <w:style w:type="character" w:customStyle="1" w:styleId="gt-icon-text1">
    <w:name w:val="gt-icon-text1"/>
    <w:basedOn w:val="Absatz-Standardschriftart"/>
    <w:rsid w:val="002227DE"/>
  </w:style>
  <w:style w:type="paragraph" w:styleId="Listenabsatz">
    <w:name w:val="List Paragraph"/>
    <w:basedOn w:val="Standard"/>
    <w:uiPriority w:val="34"/>
    <w:qFormat/>
    <w:rsid w:val="00FB7177"/>
    <w:pPr>
      <w:ind w:left="720"/>
      <w:contextualSpacing/>
    </w:pPr>
  </w:style>
  <w:style w:type="paragraph" w:styleId="Sprechblasentext">
    <w:name w:val="Balloon Text"/>
    <w:basedOn w:val="Standard"/>
    <w:link w:val="SprechblasentextZchn"/>
    <w:rsid w:val="009C1ED3"/>
    <w:rPr>
      <w:rFonts w:ascii="Tahoma" w:hAnsi="Tahoma" w:cs="Tahoma"/>
      <w:sz w:val="16"/>
      <w:szCs w:val="16"/>
    </w:rPr>
  </w:style>
  <w:style w:type="character" w:customStyle="1" w:styleId="SprechblasentextZchn">
    <w:name w:val="Sprechblasentext Zchn"/>
    <w:basedOn w:val="Absatz-Standardschriftart"/>
    <w:link w:val="Sprechblasentext"/>
    <w:rsid w:val="009C1ED3"/>
    <w:rPr>
      <w:rFonts w:ascii="Tahoma" w:hAnsi="Tahoma" w:cs="Tahoma"/>
      <w:sz w:val="16"/>
      <w:szCs w:val="16"/>
    </w:rPr>
  </w:style>
  <w:style w:type="paragraph" w:customStyle="1" w:styleId="R01">
    <w:name w:val="R01"/>
    <w:basedOn w:val="Standard"/>
    <w:rsid w:val="00D41AED"/>
    <w:pPr>
      <w:ind w:firstLine="540"/>
    </w:pPr>
    <w:rPr>
      <w:rFonts w:ascii="Times" w:hAnsi="Times"/>
      <w:szCs w:val="20"/>
      <w:lang w:val="en-US"/>
    </w:rPr>
  </w:style>
  <w:style w:type="character" w:customStyle="1" w:styleId="hps">
    <w:name w:val="hps"/>
    <w:basedOn w:val="Absatz-Standardschriftart"/>
    <w:rsid w:val="00EC5CA7"/>
  </w:style>
  <w:style w:type="character" w:styleId="Kommentarzeichen">
    <w:name w:val="annotation reference"/>
    <w:basedOn w:val="Absatz-Standardschriftart"/>
    <w:uiPriority w:val="99"/>
    <w:rsid w:val="00315726"/>
    <w:rPr>
      <w:sz w:val="16"/>
      <w:szCs w:val="16"/>
    </w:rPr>
  </w:style>
  <w:style w:type="paragraph" w:styleId="Kommentartext">
    <w:name w:val="annotation text"/>
    <w:basedOn w:val="Standard"/>
    <w:link w:val="KommentartextZchn"/>
    <w:uiPriority w:val="99"/>
    <w:rsid w:val="00315726"/>
    <w:rPr>
      <w:sz w:val="20"/>
      <w:szCs w:val="20"/>
    </w:rPr>
  </w:style>
  <w:style w:type="character" w:customStyle="1" w:styleId="KommentartextZchn">
    <w:name w:val="Kommentartext Zchn"/>
    <w:basedOn w:val="Absatz-Standardschriftart"/>
    <w:link w:val="Kommentartext"/>
    <w:uiPriority w:val="99"/>
    <w:rsid w:val="00315726"/>
  </w:style>
  <w:style w:type="paragraph" w:styleId="Kommentarthema">
    <w:name w:val="annotation subject"/>
    <w:basedOn w:val="Kommentartext"/>
    <w:next w:val="Kommentartext"/>
    <w:link w:val="KommentarthemaZchn"/>
    <w:rsid w:val="00315726"/>
    <w:rPr>
      <w:b/>
      <w:bCs/>
    </w:rPr>
  </w:style>
  <w:style w:type="character" w:customStyle="1" w:styleId="KommentarthemaZchn">
    <w:name w:val="Kommentarthema Zchn"/>
    <w:basedOn w:val="KommentartextZchn"/>
    <w:link w:val="Kommentarthema"/>
    <w:rsid w:val="00315726"/>
    <w:rPr>
      <w:b/>
      <w:bCs/>
    </w:rPr>
  </w:style>
  <w:style w:type="character" w:styleId="Hervorhebung">
    <w:name w:val="Emphasis"/>
    <w:basedOn w:val="Absatz-Standardschriftart"/>
    <w:uiPriority w:val="20"/>
    <w:qFormat/>
    <w:rsid w:val="00B43329"/>
    <w:rPr>
      <w:b/>
      <w:bCs/>
      <w:i w:val="0"/>
      <w:iCs w:val="0"/>
    </w:rPr>
  </w:style>
  <w:style w:type="paragraph" w:customStyle="1" w:styleId="Standard1">
    <w:name w:val="Standard1"/>
    <w:rsid w:val="00A24C66"/>
    <w:rPr>
      <w:rFonts w:eastAsia="ヒラギノ角ゴ Pro W3"/>
      <w:color w:val="000000"/>
      <w:sz w:val="24"/>
      <w:lang w:val="de-DE" w:eastAsia="de-DE"/>
    </w:rPr>
  </w:style>
  <w:style w:type="character" w:customStyle="1" w:styleId="text-with-line-breaks">
    <w:name w:val="text-with-line-breaks"/>
    <w:basedOn w:val="Absatz-Standardschriftart"/>
    <w:rsid w:val="00F00038"/>
  </w:style>
  <w:style w:type="character" w:customStyle="1" w:styleId="FuzeileZchn">
    <w:name w:val="Fußzeile Zchn"/>
    <w:basedOn w:val="Absatz-Standardschriftart"/>
    <w:link w:val="Fuzeile"/>
    <w:uiPriority w:val="99"/>
    <w:rsid w:val="00F431CE"/>
    <w:rPr>
      <w:sz w:val="24"/>
      <w:szCs w:val="24"/>
      <w:lang w:val="de-DE" w:eastAsia="de-DE"/>
    </w:rPr>
  </w:style>
  <w:style w:type="paragraph" w:styleId="berarbeitung">
    <w:name w:val="Revision"/>
    <w:hidden/>
    <w:uiPriority w:val="99"/>
    <w:semiHidden/>
    <w:rsid w:val="00C01E5C"/>
    <w:rPr>
      <w:sz w:val="24"/>
      <w:szCs w:val="24"/>
      <w:lang w:val="de-DE" w:eastAsia="de-DE"/>
    </w:rPr>
  </w:style>
  <w:style w:type="character" w:customStyle="1" w:styleId="s1">
    <w:name w:val="s1"/>
    <w:basedOn w:val="Absatz-Standardschriftart"/>
    <w:rsid w:val="00F12A99"/>
  </w:style>
  <w:style w:type="paragraph" w:styleId="NurText">
    <w:name w:val="Plain Text"/>
    <w:basedOn w:val="Standard"/>
    <w:link w:val="NurTextZchn"/>
    <w:uiPriority w:val="99"/>
    <w:unhideWhenUsed/>
    <w:rsid w:val="00C12625"/>
    <w:rPr>
      <w:rFonts w:ascii="Consolas" w:eastAsiaTheme="minorHAnsi" w:hAnsi="Consolas" w:cs="Consolas"/>
      <w:sz w:val="21"/>
      <w:szCs w:val="21"/>
      <w:lang w:val="de-CH" w:eastAsia="en-US"/>
    </w:rPr>
  </w:style>
  <w:style w:type="character" w:customStyle="1" w:styleId="NurTextZchn">
    <w:name w:val="Nur Text Zchn"/>
    <w:basedOn w:val="Absatz-Standardschriftart"/>
    <w:link w:val="NurText"/>
    <w:uiPriority w:val="99"/>
    <w:rsid w:val="00C12625"/>
    <w:rPr>
      <w:rFonts w:ascii="Consolas" w:eastAsiaTheme="minorHAnsi" w:hAnsi="Consolas" w:cs="Consolas"/>
      <w:sz w:val="21"/>
      <w:szCs w:val="21"/>
      <w:lang w:eastAsia="en-US"/>
    </w:rPr>
  </w:style>
  <w:style w:type="paragraph" w:customStyle="1" w:styleId="Default">
    <w:name w:val="Default"/>
    <w:rsid w:val="00BA5757"/>
    <w:pPr>
      <w:autoSpaceDE w:val="0"/>
      <w:autoSpaceDN w:val="0"/>
      <w:adjustRightInd w:val="0"/>
    </w:pPr>
    <w:rPr>
      <w:color w:val="000000"/>
      <w:sz w:val="24"/>
      <w:szCs w:val="24"/>
    </w:rPr>
  </w:style>
  <w:style w:type="paragraph" w:customStyle="1" w:styleId="EndNoteBibliographyTitle">
    <w:name w:val="EndNote Bibliography Title"/>
    <w:basedOn w:val="Standard"/>
    <w:link w:val="EndNoteBibliographyTitleZchn"/>
    <w:rsid w:val="0077328E"/>
    <w:pPr>
      <w:jc w:val="center"/>
    </w:pPr>
    <w:rPr>
      <w:noProof/>
    </w:rPr>
  </w:style>
  <w:style w:type="character" w:customStyle="1" w:styleId="EndNoteBibliographyTitleZchn">
    <w:name w:val="EndNote Bibliography Title Zchn"/>
    <w:basedOn w:val="Absatz-Standardschriftart"/>
    <w:link w:val="EndNoteBibliographyTitle"/>
    <w:rsid w:val="0077328E"/>
    <w:rPr>
      <w:noProof/>
      <w:sz w:val="24"/>
      <w:szCs w:val="24"/>
      <w:lang w:val="de-DE" w:eastAsia="de-DE"/>
    </w:rPr>
  </w:style>
  <w:style w:type="paragraph" w:customStyle="1" w:styleId="EndNoteBibliography">
    <w:name w:val="EndNote Bibliography"/>
    <w:basedOn w:val="Standard"/>
    <w:link w:val="EndNoteBibliographyZchn"/>
    <w:rsid w:val="0077328E"/>
    <w:rPr>
      <w:noProof/>
    </w:rPr>
  </w:style>
  <w:style w:type="character" w:customStyle="1" w:styleId="EndNoteBibliographyZchn">
    <w:name w:val="EndNote Bibliography Zchn"/>
    <w:basedOn w:val="Absatz-Standardschriftart"/>
    <w:link w:val="EndNoteBibliography"/>
    <w:rsid w:val="0077328E"/>
    <w:rPr>
      <w:noProof/>
      <w:sz w:val="24"/>
      <w:szCs w:val="24"/>
      <w:lang w:val="de-DE" w:eastAsia="de-DE"/>
    </w:rPr>
  </w:style>
  <w:style w:type="paragraph" w:styleId="Literaturverzeichnis">
    <w:name w:val="Bibliography"/>
    <w:basedOn w:val="Standard"/>
    <w:next w:val="Standard"/>
    <w:uiPriority w:val="37"/>
    <w:unhideWhenUsed/>
    <w:rsid w:val="00DE467F"/>
    <w:pPr>
      <w:tabs>
        <w:tab w:val="left" w:pos="504"/>
      </w:tabs>
      <w:spacing w:after="240"/>
      <w:ind w:left="504" w:hanging="504"/>
    </w:pPr>
  </w:style>
  <w:style w:type="character" w:styleId="Fett">
    <w:name w:val="Strong"/>
    <w:basedOn w:val="Absatz-Standardschriftart"/>
    <w:uiPriority w:val="22"/>
    <w:qFormat/>
    <w:rsid w:val="0012037B"/>
    <w:rPr>
      <w:b/>
      <w:bCs/>
    </w:rPr>
  </w:style>
  <w:style w:type="character" w:styleId="Platzhaltertext">
    <w:name w:val="Placeholder Text"/>
    <w:basedOn w:val="Absatz-Standardschriftart"/>
    <w:uiPriority w:val="99"/>
    <w:semiHidden/>
    <w:rsid w:val="006217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539">
      <w:bodyDiv w:val="1"/>
      <w:marLeft w:val="0"/>
      <w:marRight w:val="0"/>
      <w:marTop w:val="0"/>
      <w:marBottom w:val="0"/>
      <w:divBdr>
        <w:top w:val="none" w:sz="0" w:space="0" w:color="auto"/>
        <w:left w:val="none" w:sz="0" w:space="0" w:color="auto"/>
        <w:bottom w:val="none" w:sz="0" w:space="0" w:color="auto"/>
        <w:right w:val="none" w:sz="0" w:space="0" w:color="auto"/>
      </w:divBdr>
      <w:divsChild>
        <w:div w:id="1955936367">
          <w:marLeft w:val="0"/>
          <w:marRight w:val="0"/>
          <w:marTop w:val="0"/>
          <w:marBottom w:val="0"/>
          <w:divBdr>
            <w:top w:val="none" w:sz="0" w:space="0" w:color="auto"/>
            <w:left w:val="none" w:sz="0" w:space="0" w:color="auto"/>
            <w:bottom w:val="none" w:sz="0" w:space="0" w:color="auto"/>
            <w:right w:val="none" w:sz="0" w:space="0" w:color="auto"/>
          </w:divBdr>
          <w:divsChild>
            <w:div w:id="452558736">
              <w:marLeft w:val="0"/>
              <w:marRight w:val="0"/>
              <w:marTop w:val="0"/>
              <w:marBottom w:val="0"/>
              <w:divBdr>
                <w:top w:val="none" w:sz="0" w:space="0" w:color="auto"/>
                <w:left w:val="none" w:sz="0" w:space="0" w:color="auto"/>
                <w:bottom w:val="none" w:sz="0" w:space="0" w:color="auto"/>
                <w:right w:val="none" w:sz="0" w:space="0" w:color="auto"/>
              </w:divBdr>
              <w:divsChild>
                <w:div w:id="161895614">
                  <w:marLeft w:val="0"/>
                  <w:marRight w:val="0"/>
                  <w:marTop w:val="0"/>
                  <w:marBottom w:val="0"/>
                  <w:divBdr>
                    <w:top w:val="none" w:sz="0" w:space="0" w:color="auto"/>
                    <w:left w:val="none" w:sz="0" w:space="0" w:color="auto"/>
                    <w:bottom w:val="none" w:sz="0" w:space="0" w:color="auto"/>
                    <w:right w:val="none" w:sz="0" w:space="0" w:color="auto"/>
                  </w:divBdr>
                  <w:divsChild>
                    <w:div w:id="2083865398">
                      <w:marLeft w:val="0"/>
                      <w:marRight w:val="0"/>
                      <w:marTop w:val="0"/>
                      <w:marBottom w:val="0"/>
                      <w:divBdr>
                        <w:top w:val="none" w:sz="0" w:space="0" w:color="auto"/>
                        <w:left w:val="none" w:sz="0" w:space="0" w:color="auto"/>
                        <w:bottom w:val="none" w:sz="0" w:space="0" w:color="auto"/>
                        <w:right w:val="none" w:sz="0" w:space="0" w:color="auto"/>
                      </w:divBdr>
                      <w:divsChild>
                        <w:div w:id="1535003463">
                          <w:marLeft w:val="0"/>
                          <w:marRight w:val="0"/>
                          <w:marTop w:val="0"/>
                          <w:marBottom w:val="0"/>
                          <w:divBdr>
                            <w:top w:val="none" w:sz="0" w:space="0" w:color="auto"/>
                            <w:left w:val="none" w:sz="0" w:space="0" w:color="auto"/>
                            <w:bottom w:val="none" w:sz="0" w:space="0" w:color="auto"/>
                            <w:right w:val="none" w:sz="0" w:space="0" w:color="auto"/>
                          </w:divBdr>
                          <w:divsChild>
                            <w:div w:id="1717730141">
                              <w:marLeft w:val="0"/>
                              <w:marRight w:val="0"/>
                              <w:marTop w:val="0"/>
                              <w:marBottom w:val="0"/>
                              <w:divBdr>
                                <w:top w:val="none" w:sz="0" w:space="0" w:color="auto"/>
                                <w:left w:val="none" w:sz="0" w:space="0" w:color="auto"/>
                                <w:bottom w:val="none" w:sz="0" w:space="0" w:color="auto"/>
                                <w:right w:val="none" w:sz="0" w:space="0" w:color="auto"/>
                              </w:divBdr>
                              <w:divsChild>
                                <w:div w:id="4381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21326">
      <w:bodyDiv w:val="1"/>
      <w:marLeft w:val="0"/>
      <w:marRight w:val="0"/>
      <w:marTop w:val="0"/>
      <w:marBottom w:val="0"/>
      <w:divBdr>
        <w:top w:val="none" w:sz="0" w:space="0" w:color="auto"/>
        <w:left w:val="none" w:sz="0" w:space="0" w:color="auto"/>
        <w:bottom w:val="none" w:sz="0" w:space="0" w:color="auto"/>
        <w:right w:val="none" w:sz="0" w:space="0" w:color="auto"/>
      </w:divBdr>
    </w:div>
    <w:div w:id="59988852">
      <w:bodyDiv w:val="1"/>
      <w:marLeft w:val="0"/>
      <w:marRight w:val="0"/>
      <w:marTop w:val="0"/>
      <w:marBottom w:val="0"/>
      <w:divBdr>
        <w:top w:val="none" w:sz="0" w:space="0" w:color="auto"/>
        <w:left w:val="none" w:sz="0" w:space="0" w:color="auto"/>
        <w:bottom w:val="none" w:sz="0" w:space="0" w:color="auto"/>
        <w:right w:val="none" w:sz="0" w:space="0" w:color="auto"/>
      </w:divBdr>
    </w:div>
    <w:div w:id="94254899">
      <w:bodyDiv w:val="1"/>
      <w:marLeft w:val="0"/>
      <w:marRight w:val="0"/>
      <w:marTop w:val="0"/>
      <w:marBottom w:val="0"/>
      <w:divBdr>
        <w:top w:val="none" w:sz="0" w:space="0" w:color="auto"/>
        <w:left w:val="none" w:sz="0" w:space="0" w:color="auto"/>
        <w:bottom w:val="none" w:sz="0" w:space="0" w:color="auto"/>
        <w:right w:val="none" w:sz="0" w:space="0" w:color="auto"/>
      </w:divBdr>
    </w:div>
    <w:div w:id="118649322">
      <w:bodyDiv w:val="1"/>
      <w:marLeft w:val="0"/>
      <w:marRight w:val="0"/>
      <w:marTop w:val="0"/>
      <w:marBottom w:val="0"/>
      <w:divBdr>
        <w:top w:val="none" w:sz="0" w:space="0" w:color="auto"/>
        <w:left w:val="none" w:sz="0" w:space="0" w:color="auto"/>
        <w:bottom w:val="none" w:sz="0" w:space="0" w:color="auto"/>
        <w:right w:val="none" w:sz="0" w:space="0" w:color="auto"/>
      </w:divBdr>
      <w:divsChild>
        <w:div w:id="762917094">
          <w:marLeft w:val="0"/>
          <w:marRight w:val="0"/>
          <w:marTop w:val="0"/>
          <w:marBottom w:val="0"/>
          <w:divBdr>
            <w:top w:val="none" w:sz="0" w:space="0" w:color="auto"/>
            <w:left w:val="none" w:sz="0" w:space="0" w:color="auto"/>
            <w:bottom w:val="none" w:sz="0" w:space="0" w:color="auto"/>
            <w:right w:val="none" w:sz="0" w:space="0" w:color="auto"/>
          </w:divBdr>
          <w:divsChild>
            <w:div w:id="245921908">
              <w:marLeft w:val="0"/>
              <w:marRight w:val="0"/>
              <w:marTop w:val="0"/>
              <w:marBottom w:val="0"/>
              <w:divBdr>
                <w:top w:val="none" w:sz="0" w:space="0" w:color="auto"/>
                <w:left w:val="none" w:sz="0" w:space="0" w:color="auto"/>
                <w:bottom w:val="none" w:sz="0" w:space="0" w:color="auto"/>
                <w:right w:val="none" w:sz="0" w:space="0" w:color="auto"/>
              </w:divBdr>
              <w:divsChild>
                <w:div w:id="195967467">
                  <w:marLeft w:val="0"/>
                  <w:marRight w:val="0"/>
                  <w:marTop w:val="0"/>
                  <w:marBottom w:val="0"/>
                  <w:divBdr>
                    <w:top w:val="none" w:sz="0" w:space="0" w:color="auto"/>
                    <w:left w:val="none" w:sz="0" w:space="0" w:color="auto"/>
                    <w:bottom w:val="none" w:sz="0" w:space="0" w:color="auto"/>
                    <w:right w:val="none" w:sz="0" w:space="0" w:color="auto"/>
                  </w:divBdr>
                  <w:divsChild>
                    <w:div w:id="472333266">
                      <w:marLeft w:val="0"/>
                      <w:marRight w:val="0"/>
                      <w:marTop w:val="0"/>
                      <w:marBottom w:val="0"/>
                      <w:divBdr>
                        <w:top w:val="none" w:sz="0" w:space="0" w:color="auto"/>
                        <w:left w:val="none" w:sz="0" w:space="0" w:color="auto"/>
                        <w:bottom w:val="none" w:sz="0" w:space="0" w:color="auto"/>
                        <w:right w:val="none" w:sz="0" w:space="0" w:color="auto"/>
                      </w:divBdr>
                      <w:divsChild>
                        <w:div w:id="396636925">
                          <w:marLeft w:val="0"/>
                          <w:marRight w:val="0"/>
                          <w:marTop w:val="0"/>
                          <w:marBottom w:val="0"/>
                          <w:divBdr>
                            <w:top w:val="none" w:sz="0" w:space="0" w:color="auto"/>
                            <w:left w:val="none" w:sz="0" w:space="0" w:color="auto"/>
                            <w:bottom w:val="none" w:sz="0" w:space="0" w:color="auto"/>
                            <w:right w:val="none" w:sz="0" w:space="0" w:color="auto"/>
                          </w:divBdr>
                          <w:divsChild>
                            <w:div w:id="639186499">
                              <w:marLeft w:val="0"/>
                              <w:marRight w:val="0"/>
                              <w:marTop w:val="0"/>
                              <w:marBottom w:val="0"/>
                              <w:divBdr>
                                <w:top w:val="none" w:sz="0" w:space="0" w:color="auto"/>
                                <w:left w:val="none" w:sz="0" w:space="0" w:color="auto"/>
                                <w:bottom w:val="none" w:sz="0" w:space="0" w:color="auto"/>
                                <w:right w:val="none" w:sz="0" w:space="0" w:color="auto"/>
                              </w:divBdr>
                              <w:divsChild>
                                <w:div w:id="1533417751">
                                  <w:marLeft w:val="0"/>
                                  <w:marRight w:val="0"/>
                                  <w:marTop w:val="0"/>
                                  <w:marBottom w:val="0"/>
                                  <w:divBdr>
                                    <w:top w:val="none" w:sz="0" w:space="0" w:color="auto"/>
                                    <w:left w:val="none" w:sz="0" w:space="0" w:color="auto"/>
                                    <w:bottom w:val="none" w:sz="0" w:space="0" w:color="auto"/>
                                    <w:right w:val="none" w:sz="0" w:space="0" w:color="auto"/>
                                  </w:divBdr>
                                </w:div>
                              </w:divsChild>
                            </w:div>
                            <w:div w:id="931351338">
                              <w:marLeft w:val="0"/>
                              <w:marRight w:val="0"/>
                              <w:marTop w:val="480"/>
                              <w:marBottom w:val="0"/>
                              <w:divBdr>
                                <w:top w:val="none" w:sz="0" w:space="0" w:color="auto"/>
                                <w:left w:val="none" w:sz="0" w:space="0" w:color="auto"/>
                                <w:bottom w:val="none" w:sz="0" w:space="0" w:color="auto"/>
                                <w:right w:val="none" w:sz="0" w:space="0" w:color="auto"/>
                              </w:divBdr>
                            </w:div>
                            <w:div w:id="1309476389">
                              <w:marLeft w:val="0"/>
                              <w:marRight w:val="0"/>
                              <w:marTop w:val="0"/>
                              <w:marBottom w:val="0"/>
                              <w:divBdr>
                                <w:top w:val="none" w:sz="0" w:space="0" w:color="auto"/>
                                <w:left w:val="none" w:sz="0" w:space="0" w:color="auto"/>
                                <w:bottom w:val="none" w:sz="0" w:space="0" w:color="auto"/>
                                <w:right w:val="none" w:sz="0" w:space="0" w:color="auto"/>
                              </w:divBdr>
                            </w:div>
                            <w:div w:id="1909072006">
                              <w:marLeft w:val="0"/>
                              <w:marRight w:val="0"/>
                              <w:marTop w:val="120"/>
                              <w:marBottom w:val="0"/>
                              <w:divBdr>
                                <w:top w:val="none" w:sz="0" w:space="0" w:color="auto"/>
                                <w:left w:val="none" w:sz="0" w:space="0" w:color="auto"/>
                                <w:bottom w:val="none" w:sz="0" w:space="0" w:color="auto"/>
                                <w:right w:val="none" w:sz="0" w:space="0" w:color="auto"/>
                              </w:divBdr>
                              <w:divsChild>
                                <w:div w:id="1154178137">
                                  <w:marLeft w:val="0"/>
                                  <w:marRight w:val="240"/>
                                  <w:marTop w:val="0"/>
                                  <w:marBottom w:val="0"/>
                                  <w:divBdr>
                                    <w:top w:val="none" w:sz="0" w:space="0" w:color="auto"/>
                                    <w:left w:val="none" w:sz="0" w:space="0" w:color="auto"/>
                                    <w:bottom w:val="none" w:sz="0" w:space="0" w:color="auto"/>
                                    <w:right w:val="none" w:sz="0" w:space="0" w:color="auto"/>
                                  </w:divBdr>
                                </w:div>
                                <w:div w:id="17893527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2174">
      <w:bodyDiv w:val="1"/>
      <w:marLeft w:val="0"/>
      <w:marRight w:val="0"/>
      <w:marTop w:val="0"/>
      <w:marBottom w:val="0"/>
      <w:divBdr>
        <w:top w:val="none" w:sz="0" w:space="0" w:color="auto"/>
        <w:left w:val="none" w:sz="0" w:space="0" w:color="auto"/>
        <w:bottom w:val="none" w:sz="0" w:space="0" w:color="auto"/>
        <w:right w:val="none" w:sz="0" w:space="0" w:color="auto"/>
      </w:divBdr>
    </w:div>
    <w:div w:id="132255431">
      <w:bodyDiv w:val="1"/>
      <w:marLeft w:val="0"/>
      <w:marRight w:val="0"/>
      <w:marTop w:val="0"/>
      <w:marBottom w:val="0"/>
      <w:divBdr>
        <w:top w:val="none" w:sz="0" w:space="0" w:color="auto"/>
        <w:left w:val="none" w:sz="0" w:space="0" w:color="auto"/>
        <w:bottom w:val="none" w:sz="0" w:space="0" w:color="auto"/>
        <w:right w:val="none" w:sz="0" w:space="0" w:color="auto"/>
      </w:divBdr>
    </w:div>
    <w:div w:id="413362143">
      <w:bodyDiv w:val="1"/>
      <w:marLeft w:val="0"/>
      <w:marRight w:val="0"/>
      <w:marTop w:val="0"/>
      <w:marBottom w:val="0"/>
      <w:divBdr>
        <w:top w:val="none" w:sz="0" w:space="0" w:color="auto"/>
        <w:left w:val="none" w:sz="0" w:space="0" w:color="auto"/>
        <w:bottom w:val="none" w:sz="0" w:space="0" w:color="auto"/>
        <w:right w:val="none" w:sz="0" w:space="0" w:color="auto"/>
      </w:divBdr>
      <w:divsChild>
        <w:div w:id="881022229">
          <w:marLeft w:val="0"/>
          <w:marRight w:val="0"/>
          <w:marTop w:val="0"/>
          <w:marBottom w:val="0"/>
          <w:divBdr>
            <w:top w:val="none" w:sz="0" w:space="0" w:color="auto"/>
            <w:left w:val="none" w:sz="0" w:space="0" w:color="auto"/>
            <w:bottom w:val="none" w:sz="0" w:space="0" w:color="auto"/>
            <w:right w:val="none" w:sz="0" w:space="0" w:color="auto"/>
          </w:divBdr>
          <w:divsChild>
            <w:div w:id="1039210839">
              <w:marLeft w:val="0"/>
              <w:marRight w:val="0"/>
              <w:marTop w:val="0"/>
              <w:marBottom w:val="0"/>
              <w:divBdr>
                <w:top w:val="none" w:sz="0" w:space="0" w:color="auto"/>
                <w:left w:val="none" w:sz="0" w:space="0" w:color="auto"/>
                <w:bottom w:val="none" w:sz="0" w:space="0" w:color="auto"/>
                <w:right w:val="none" w:sz="0" w:space="0" w:color="auto"/>
              </w:divBdr>
              <w:divsChild>
                <w:div w:id="213081590">
                  <w:marLeft w:val="0"/>
                  <w:marRight w:val="0"/>
                  <w:marTop w:val="0"/>
                  <w:marBottom w:val="0"/>
                  <w:divBdr>
                    <w:top w:val="none" w:sz="0" w:space="0" w:color="auto"/>
                    <w:left w:val="none" w:sz="0" w:space="0" w:color="auto"/>
                    <w:bottom w:val="none" w:sz="0" w:space="0" w:color="auto"/>
                    <w:right w:val="none" w:sz="0" w:space="0" w:color="auto"/>
                  </w:divBdr>
                  <w:divsChild>
                    <w:div w:id="1152482693">
                      <w:marLeft w:val="0"/>
                      <w:marRight w:val="0"/>
                      <w:marTop w:val="0"/>
                      <w:marBottom w:val="0"/>
                      <w:divBdr>
                        <w:top w:val="none" w:sz="0" w:space="0" w:color="auto"/>
                        <w:left w:val="none" w:sz="0" w:space="0" w:color="auto"/>
                        <w:bottom w:val="none" w:sz="0" w:space="0" w:color="auto"/>
                        <w:right w:val="none" w:sz="0" w:space="0" w:color="auto"/>
                      </w:divBdr>
                      <w:divsChild>
                        <w:div w:id="525295441">
                          <w:marLeft w:val="0"/>
                          <w:marRight w:val="0"/>
                          <w:marTop w:val="0"/>
                          <w:marBottom w:val="0"/>
                          <w:divBdr>
                            <w:top w:val="none" w:sz="0" w:space="0" w:color="auto"/>
                            <w:left w:val="none" w:sz="0" w:space="0" w:color="auto"/>
                            <w:bottom w:val="none" w:sz="0" w:space="0" w:color="auto"/>
                            <w:right w:val="none" w:sz="0" w:space="0" w:color="auto"/>
                          </w:divBdr>
                          <w:divsChild>
                            <w:div w:id="861361686">
                              <w:marLeft w:val="0"/>
                              <w:marRight w:val="0"/>
                              <w:marTop w:val="0"/>
                              <w:marBottom w:val="0"/>
                              <w:divBdr>
                                <w:top w:val="none" w:sz="0" w:space="0" w:color="auto"/>
                                <w:left w:val="none" w:sz="0" w:space="0" w:color="auto"/>
                                <w:bottom w:val="none" w:sz="0" w:space="0" w:color="auto"/>
                                <w:right w:val="none" w:sz="0" w:space="0" w:color="auto"/>
                              </w:divBdr>
                              <w:divsChild>
                                <w:div w:id="1054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150018">
      <w:bodyDiv w:val="1"/>
      <w:marLeft w:val="0"/>
      <w:marRight w:val="0"/>
      <w:marTop w:val="0"/>
      <w:marBottom w:val="0"/>
      <w:divBdr>
        <w:top w:val="none" w:sz="0" w:space="0" w:color="auto"/>
        <w:left w:val="none" w:sz="0" w:space="0" w:color="auto"/>
        <w:bottom w:val="none" w:sz="0" w:space="0" w:color="auto"/>
        <w:right w:val="none" w:sz="0" w:space="0" w:color="auto"/>
      </w:divBdr>
    </w:div>
    <w:div w:id="613095637">
      <w:bodyDiv w:val="1"/>
      <w:marLeft w:val="0"/>
      <w:marRight w:val="0"/>
      <w:marTop w:val="0"/>
      <w:marBottom w:val="0"/>
      <w:divBdr>
        <w:top w:val="none" w:sz="0" w:space="0" w:color="auto"/>
        <w:left w:val="none" w:sz="0" w:space="0" w:color="auto"/>
        <w:bottom w:val="none" w:sz="0" w:space="0" w:color="auto"/>
        <w:right w:val="none" w:sz="0" w:space="0" w:color="auto"/>
      </w:divBdr>
    </w:div>
    <w:div w:id="658584693">
      <w:bodyDiv w:val="1"/>
      <w:marLeft w:val="0"/>
      <w:marRight w:val="0"/>
      <w:marTop w:val="0"/>
      <w:marBottom w:val="0"/>
      <w:divBdr>
        <w:top w:val="none" w:sz="0" w:space="0" w:color="auto"/>
        <w:left w:val="none" w:sz="0" w:space="0" w:color="auto"/>
        <w:bottom w:val="none" w:sz="0" w:space="0" w:color="auto"/>
        <w:right w:val="none" w:sz="0" w:space="0" w:color="auto"/>
      </w:divBdr>
    </w:div>
    <w:div w:id="721713090">
      <w:bodyDiv w:val="1"/>
      <w:marLeft w:val="0"/>
      <w:marRight w:val="0"/>
      <w:marTop w:val="0"/>
      <w:marBottom w:val="0"/>
      <w:divBdr>
        <w:top w:val="none" w:sz="0" w:space="0" w:color="auto"/>
        <w:left w:val="none" w:sz="0" w:space="0" w:color="auto"/>
        <w:bottom w:val="none" w:sz="0" w:space="0" w:color="auto"/>
        <w:right w:val="none" w:sz="0" w:space="0" w:color="auto"/>
      </w:divBdr>
      <w:divsChild>
        <w:div w:id="141384618">
          <w:marLeft w:val="0"/>
          <w:marRight w:val="0"/>
          <w:marTop w:val="0"/>
          <w:marBottom w:val="0"/>
          <w:divBdr>
            <w:top w:val="none" w:sz="0" w:space="0" w:color="auto"/>
            <w:left w:val="none" w:sz="0" w:space="0" w:color="auto"/>
            <w:bottom w:val="none" w:sz="0" w:space="0" w:color="auto"/>
            <w:right w:val="none" w:sz="0" w:space="0" w:color="auto"/>
          </w:divBdr>
          <w:divsChild>
            <w:div w:id="2065179884">
              <w:marLeft w:val="0"/>
              <w:marRight w:val="0"/>
              <w:marTop w:val="0"/>
              <w:marBottom w:val="0"/>
              <w:divBdr>
                <w:top w:val="none" w:sz="0" w:space="0" w:color="auto"/>
                <w:left w:val="none" w:sz="0" w:space="0" w:color="auto"/>
                <w:bottom w:val="none" w:sz="0" w:space="0" w:color="auto"/>
                <w:right w:val="none" w:sz="0" w:space="0" w:color="auto"/>
              </w:divBdr>
              <w:divsChild>
                <w:div w:id="415826837">
                  <w:marLeft w:val="0"/>
                  <w:marRight w:val="0"/>
                  <w:marTop w:val="0"/>
                  <w:marBottom w:val="0"/>
                  <w:divBdr>
                    <w:top w:val="none" w:sz="0" w:space="0" w:color="auto"/>
                    <w:left w:val="none" w:sz="0" w:space="0" w:color="auto"/>
                    <w:bottom w:val="none" w:sz="0" w:space="0" w:color="auto"/>
                    <w:right w:val="none" w:sz="0" w:space="0" w:color="auto"/>
                  </w:divBdr>
                  <w:divsChild>
                    <w:div w:id="686832978">
                      <w:marLeft w:val="0"/>
                      <w:marRight w:val="0"/>
                      <w:marTop w:val="0"/>
                      <w:marBottom w:val="0"/>
                      <w:divBdr>
                        <w:top w:val="none" w:sz="0" w:space="0" w:color="auto"/>
                        <w:left w:val="none" w:sz="0" w:space="0" w:color="auto"/>
                        <w:bottom w:val="none" w:sz="0" w:space="0" w:color="auto"/>
                        <w:right w:val="none" w:sz="0" w:space="0" w:color="auto"/>
                      </w:divBdr>
                      <w:divsChild>
                        <w:div w:id="1630015210">
                          <w:marLeft w:val="0"/>
                          <w:marRight w:val="0"/>
                          <w:marTop w:val="0"/>
                          <w:marBottom w:val="0"/>
                          <w:divBdr>
                            <w:top w:val="none" w:sz="0" w:space="0" w:color="auto"/>
                            <w:left w:val="none" w:sz="0" w:space="0" w:color="auto"/>
                            <w:bottom w:val="none" w:sz="0" w:space="0" w:color="auto"/>
                            <w:right w:val="none" w:sz="0" w:space="0" w:color="auto"/>
                          </w:divBdr>
                          <w:divsChild>
                            <w:div w:id="1389181742">
                              <w:marLeft w:val="0"/>
                              <w:marRight w:val="0"/>
                              <w:marTop w:val="0"/>
                              <w:marBottom w:val="0"/>
                              <w:divBdr>
                                <w:top w:val="none" w:sz="0" w:space="0" w:color="auto"/>
                                <w:left w:val="none" w:sz="0" w:space="0" w:color="auto"/>
                                <w:bottom w:val="none" w:sz="0" w:space="0" w:color="auto"/>
                                <w:right w:val="none" w:sz="0" w:space="0" w:color="auto"/>
                              </w:divBdr>
                              <w:divsChild>
                                <w:div w:id="13073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515059">
      <w:bodyDiv w:val="1"/>
      <w:marLeft w:val="0"/>
      <w:marRight w:val="0"/>
      <w:marTop w:val="0"/>
      <w:marBottom w:val="0"/>
      <w:divBdr>
        <w:top w:val="none" w:sz="0" w:space="0" w:color="auto"/>
        <w:left w:val="none" w:sz="0" w:space="0" w:color="auto"/>
        <w:bottom w:val="none" w:sz="0" w:space="0" w:color="auto"/>
        <w:right w:val="none" w:sz="0" w:space="0" w:color="auto"/>
      </w:divBdr>
    </w:div>
    <w:div w:id="828597905">
      <w:bodyDiv w:val="1"/>
      <w:marLeft w:val="0"/>
      <w:marRight w:val="0"/>
      <w:marTop w:val="0"/>
      <w:marBottom w:val="0"/>
      <w:divBdr>
        <w:top w:val="none" w:sz="0" w:space="0" w:color="auto"/>
        <w:left w:val="none" w:sz="0" w:space="0" w:color="auto"/>
        <w:bottom w:val="none" w:sz="0" w:space="0" w:color="auto"/>
        <w:right w:val="none" w:sz="0" w:space="0" w:color="auto"/>
      </w:divBdr>
    </w:div>
    <w:div w:id="876817157">
      <w:bodyDiv w:val="1"/>
      <w:marLeft w:val="0"/>
      <w:marRight w:val="0"/>
      <w:marTop w:val="0"/>
      <w:marBottom w:val="0"/>
      <w:divBdr>
        <w:top w:val="none" w:sz="0" w:space="0" w:color="auto"/>
        <w:left w:val="none" w:sz="0" w:space="0" w:color="auto"/>
        <w:bottom w:val="none" w:sz="0" w:space="0" w:color="auto"/>
        <w:right w:val="none" w:sz="0" w:space="0" w:color="auto"/>
      </w:divBdr>
      <w:divsChild>
        <w:div w:id="638345174">
          <w:marLeft w:val="0"/>
          <w:marRight w:val="0"/>
          <w:marTop w:val="0"/>
          <w:marBottom w:val="0"/>
          <w:divBdr>
            <w:top w:val="none" w:sz="0" w:space="0" w:color="auto"/>
            <w:left w:val="none" w:sz="0" w:space="0" w:color="auto"/>
            <w:bottom w:val="none" w:sz="0" w:space="0" w:color="auto"/>
            <w:right w:val="none" w:sz="0" w:space="0" w:color="auto"/>
          </w:divBdr>
        </w:div>
      </w:divsChild>
    </w:div>
    <w:div w:id="902984194">
      <w:bodyDiv w:val="1"/>
      <w:marLeft w:val="0"/>
      <w:marRight w:val="0"/>
      <w:marTop w:val="0"/>
      <w:marBottom w:val="0"/>
      <w:divBdr>
        <w:top w:val="none" w:sz="0" w:space="0" w:color="auto"/>
        <w:left w:val="none" w:sz="0" w:space="0" w:color="auto"/>
        <w:bottom w:val="none" w:sz="0" w:space="0" w:color="auto"/>
        <w:right w:val="none" w:sz="0" w:space="0" w:color="auto"/>
      </w:divBdr>
      <w:divsChild>
        <w:div w:id="1719814364">
          <w:marLeft w:val="0"/>
          <w:marRight w:val="0"/>
          <w:marTop w:val="0"/>
          <w:marBottom w:val="0"/>
          <w:divBdr>
            <w:top w:val="none" w:sz="0" w:space="0" w:color="auto"/>
            <w:left w:val="none" w:sz="0" w:space="0" w:color="auto"/>
            <w:bottom w:val="none" w:sz="0" w:space="0" w:color="auto"/>
            <w:right w:val="none" w:sz="0" w:space="0" w:color="auto"/>
          </w:divBdr>
          <w:divsChild>
            <w:div w:id="315376123">
              <w:marLeft w:val="0"/>
              <w:marRight w:val="0"/>
              <w:marTop w:val="0"/>
              <w:marBottom w:val="0"/>
              <w:divBdr>
                <w:top w:val="none" w:sz="0" w:space="0" w:color="auto"/>
                <w:left w:val="none" w:sz="0" w:space="0" w:color="auto"/>
                <w:bottom w:val="none" w:sz="0" w:space="0" w:color="auto"/>
                <w:right w:val="none" w:sz="0" w:space="0" w:color="auto"/>
              </w:divBdr>
              <w:divsChild>
                <w:div w:id="1843811654">
                  <w:marLeft w:val="0"/>
                  <w:marRight w:val="0"/>
                  <w:marTop w:val="0"/>
                  <w:marBottom w:val="0"/>
                  <w:divBdr>
                    <w:top w:val="none" w:sz="0" w:space="0" w:color="auto"/>
                    <w:left w:val="none" w:sz="0" w:space="0" w:color="auto"/>
                    <w:bottom w:val="none" w:sz="0" w:space="0" w:color="auto"/>
                    <w:right w:val="none" w:sz="0" w:space="0" w:color="auto"/>
                  </w:divBdr>
                  <w:divsChild>
                    <w:div w:id="1732265321">
                      <w:marLeft w:val="0"/>
                      <w:marRight w:val="0"/>
                      <w:marTop w:val="0"/>
                      <w:marBottom w:val="0"/>
                      <w:divBdr>
                        <w:top w:val="none" w:sz="0" w:space="0" w:color="auto"/>
                        <w:left w:val="none" w:sz="0" w:space="0" w:color="auto"/>
                        <w:bottom w:val="none" w:sz="0" w:space="0" w:color="auto"/>
                        <w:right w:val="none" w:sz="0" w:space="0" w:color="auto"/>
                      </w:divBdr>
                      <w:divsChild>
                        <w:div w:id="1425347061">
                          <w:marLeft w:val="0"/>
                          <w:marRight w:val="0"/>
                          <w:marTop w:val="0"/>
                          <w:marBottom w:val="0"/>
                          <w:divBdr>
                            <w:top w:val="none" w:sz="0" w:space="0" w:color="auto"/>
                            <w:left w:val="none" w:sz="0" w:space="0" w:color="auto"/>
                            <w:bottom w:val="none" w:sz="0" w:space="0" w:color="auto"/>
                            <w:right w:val="none" w:sz="0" w:space="0" w:color="auto"/>
                          </w:divBdr>
                          <w:divsChild>
                            <w:div w:id="1336882322">
                              <w:marLeft w:val="0"/>
                              <w:marRight w:val="0"/>
                              <w:marTop w:val="0"/>
                              <w:marBottom w:val="0"/>
                              <w:divBdr>
                                <w:top w:val="none" w:sz="0" w:space="0" w:color="auto"/>
                                <w:left w:val="none" w:sz="0" w:space="0" w:color="auto"/>
                                <w:bottom w:val="none" w:sz="0" w:space="0" w:color="auto"/>
                                <w:right w:val="none" w:sz="0" w:space="0" w:color="auto"/>
                              </w:divBdr>
                              <w:divsChild>
                                <w:div w:id="345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28307">
      <w:bodyDiv w:val="1"/>
      <w:marLeft w:val="0"/>
      <w:marRight w:val="0"/>
      <w:marTop w:val="0"/>
      <w:marBottom w:val="0"/>
      <w:divBdr>
        <w:top w:val="none" w:sz="0" w:space="0" w:color="auto"/>
        <w:left w:val="none" w:sz="0" w:space="0" w:color="auto"/>
        <w:bottom w:val="none" w:sz="0" w:space="0" w:color="auto"/>
        <w:right w:val="none" w:sz="0" w:space="0" w:color="auto"/>
      </w:divBdr>
    </w:div>
    <w:div w:id="964117524">
      <w:bodyDiv w:val="1"/>
      <w:marLeft w:val="0"/>
      <w:marRight w:val="0"/>
      <w:marTop w:val="0"/>
      <w:marBottom w:val="0"/>
      <w:divBdr>
        <w:top w:val="none" w:sz="0" w:space="0" w:color="auto"/>
        <w:left w:val="none" w:sz="0" w:space="0" w:color="auto"/>
        <w:bottom w:val="none" w:sz="0" w:space="0" w:color="auto"/>
        <w:right w:val="none" w:sz="0" w:space="0" w:color="auto"/>
      </w:divBdr>
    </w:div>
    <w:div w:id="998653286">
      <w:bodyDiv w:val="1"/>
      <w:marLeft w:val="0"/>
      <w:marRight w:val="0"/>
      <w:marTop w:val="0"/>
      <w:marBottom w:val="0"/>
      <w:divBdr>
        <w:top w:val="none" w:sz="0" w:space="0" w:color="auto"/>
        <w:left w:val="none" w:sz="0" w:space="0" w:color="auto"/>
        <w:bottom w:val="none" w:sz="0" w:space="0" w:color="auto"/>
        <w:right w:val="none" w:sz="0" w:space="0" w:color="auto"/>
      </w:divBdr>
    </w:div>
    <w:div w:id="1002201637">
      <w:bodyDiv w:val="1"/>
      <w:marLeft w:val="0"/>
      <w:marRight w:val="0"/>
      <w:marTop w:val="0"/>
      <w:marBottom w:val="0"/>
      <w:divBdr>
        <w:top w:val="none" w:sz="0" w:space="0" w:color="auto"/>
        <w:left w:val="none" w:sz="0" w:space="0" w:color="auto"/>
        <w:bottom w:val="none" w:sz="0" w:space="0" w:color="auto"/>
        <w:right w:val="none" w:sz="0" w:space="0" w:color="auto"/>
      </w:divBdr>
    </w:div>
    <w:div w:id="1017852430">
      <w:bodyDiv w:val="1"/>
      <w:marLeft w:val="0"/>
      <w:marRight w:val="0"/>
      <w:marTop w:val="0"/>
      <w:marBottom w:val="0"/>
      <w:divBdr>
        <w:top w:val="none" w:sz="0" w:space="0" w:color="auto"/>
        <w:left w:val="none" w:sz="0" w:space="0" w:color="auto"/>
        <w:bottom w:val="none" w:sz="0" w:space="0" w:color="auto"/>
        <w:right w:val="none" w:sz="0" w:space="0" w:color="auto"/>
      </w:divBdr>
    </w:div>
    <w:div w:id="1030953931">
      <w:bodyDiv w:val="1"/>
      <w:marLeft w:val="0"/>
      <w:marRight w:val="0"/>
      <w:marTop w:val="0"/>
      <w:marBottom w:val="0"/>
      <w:divBdr>
        <w:top w:val="none" w:sz="0" w:space="0" w:color="auto"/>
        <w:left w:val="none" w:sz="0" w:space="0" w:color="auto"/>
        <w:bottom w:val="none" w:sz="0" w:space="0" w:color="auto"/>
        <w:right w:val="none" w:sz="0" w:space="0" w:color="auto"/>
      </w:divBdr>
      <w:divsChild>
        <w:div w:id="1916278881">
          <w:marLeft w:val="0"/>
          <w:marRight w:val="0"/>
          <w:marTop w:val="0"/>
          <w:marBottom w:val="0"/>
          <w:divBdr>
            <w:top w:val="none" w:sz="0" w:space="0" w:color="auto"/>
            <w:left w:val="none" w:sz="0" w:space="0" w:color="auto"/>
            <w:bottom w:val="none" w:sz="0" w:space="0" w:color="auto"/>
            <w:right w:val="none" w:sz="0" w:space="0" w:color="auto"/>
          </w:divBdr>
          <w:divsChild>
            <w:div w:id="98917125">
              <w:marLeft w:val="0"/>
              <w:marRight w:val="0"/>
              <w:marTop w:val="0"/>
              <w:marBottom w:val="0"/>
              <w:divBdr>
                <w:top w:val="none" w:sz="0" w:space="0" w:color="auto"/>
                <w:left w:val="none" w:sz="0" w:space="0" w:color="auto"/>
                <w:bottom w:val="none" w:sz="0" w:space="0" w:color="auto"/>
                <w:right w:val="none" w:sz="0" w:space="0" w:color="auto"/>
              </w:divBdr>
              <w:divsChild>
                <w:div w:id="672300595">
                  <w:marLeft w:val="0"/>
                  <w:marRight w:val="0"/>
                  <w:marTop w:val="0"/>
                  <w:marBottom w:val="0"/>
                  <w:divBdr>
                    <w:top w:val="none" w:sz="0" w:space="0" w:color="auto"/>
                    <w:left w:val="none" w:sz="0" w:space="0" w:color="auto"/>
                    <w:bottom w:val="none" w:sz="0" w:space="0" w:color="auto"/>
                    <w:right w:val="none" w:sz="0" w:space="0" w:color="auto"/>
                  </w:divBdr>
                  <w:divsChild>
                    <w:div w:id="1599102306">
                      <w:marLeft w:val="0"/>
                      <w:marRight w:val="0"/>
                      <w:marTop w:val="0"/>
                      <w:marBottom w:val="0"/>
                      <w:divBdr>
                        <w:top w:val="none" w:sz="0" w:space="0" w:color="auto"/>
                        <w:left w:val="none" w:sz="0" w:space="0" w:color="auto"/>
                        <w:bottom w:val="none" w:sz="0" w:space="0" w:color="auto"/>
                        <w:right w:val="none" w:sz="0" w:space="0" w:color="auto"/>
                      </w:divBdr>
                      <w:divsChild>
                        <w:div w:id="1017539140">
                          <w:marLeft w:val="0"/>
                          <w:marRight w:val="0"/>
                          <w:marTop w:val="0"/>
                          <w:marBottom w:val="0"/>
                          <w:divBdr>
                            <w:top w:val="none" w:sz="0" w:space="0" w:color="auto"/>
                            <w:left w:val="none" w:sz="0" w:space="0" w:color="auto"/>
                            <w:bottom w:val="none" w:sz="0" w:space="0" w:color="auto"/>
                            <w:right w:val="none" w:sz="0" w:space="0" w:color="auto"/>
                          </w:divBdr>
                          <w:divsChild>
                            <w:div w:id="1263488674">
                              <w:marLeft w:val="0"/>
                              <w:marRight w:val="0"/>
                              <w:marTop w:val="0"/>
                              <w:marBottom w:val="0"/>
                              <w:divBdr>
                                <w:top w:val="none" w:sz="0" w:space="0" w:color="auto"/>
                                <w:left w:val="none" w:sz="0" w:space="0" w:color="auto"/>
                                <w:bottom w:val="none" w:sz="0" w:space="0" w:color="auto"/>
                                <w:right w:val="none" w:sz="0" w:space="0" w:color="auto"/>
                              </w:divBdr>
                              <w:divsChild>
                                <w:div w:id="333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443261">
      <w:bodyDiv w:val="1"/>
      <w:marLeft w:val="0"/>
      <w:marRight w:val="0"/>
      <w:marTop w:val="0"/>
      <w:marBottom w:val="0"/>
      <w:divBdr>
        <w:top w:val="none" w:sz="0" w:space="0" w:color="auto"/>
        <w:left w:val="none" w:sz="0" w:space="0" w:color="auto"/>
        <w:bottom w:val="none" w:sz="0" w:space="0" w:color="auto"/>
        <w:right w:val="none" w:sz="0" w:space="0" w:color="auto"/>
      </w:divBdr>
    </w:div>
    <w:div w:id="1056858545">
      <w:bodyDiv w:val="1"/>
      <w:marLeft w:val="0"/>
      <w:marRight w:val="0"/>
      <w:marTop w:val="0"/>
      <w:marBottom w:val="0"/>
      <w:divBdr>
        <w:top w:val="none" w:sz="0" w:space="0" w:color="auto"/>
        <w:left w:val="none" w:sz="0" w:space="0" w:color="auto"/>
        <w:bottom w:val="none" w:sz="0" w:space="0" w:color="auto"/>
        <w:right w:val="none" w:sz="0" w:space="0" w:color="auto"/>
      </w:divBdr>
      <w:divsChild>
        <w:div w:id="953829232">
          <w:marLeft w:val="0"/>
          <w:marRight w:val="0"/>
          <w:marTop w:val="0"/>
          <w:marBottom w:val="0"/>
          <w:divBdr>
            <w:top w:val="none" w:sz="0" w:space="0" w:color="auto"/>
            <w:left w:val="none" w:sz="0" w:space="0" w:color="auto"/>
            <w:bottom w:val="none" w:sz="0" w:space="0" w:color="auto"/>
            <w:right w:val="none" w:sz="0" w:space="0" w:color="auto"/>
          </w:divBdr>
          <w:divsChild>
            <w:div w:id="741636316">
              <w:marLeft w:val="0"/>
              <w:marRight w:val="0"/>
              <w:marTop w:val="0"/>
              <w:marBottom w:val="0"/>
              <w:divBdr>
                <w:top w:val="none" w:sz="0" w:space="0" w:color="auto"/>
                <w:left w:val="none" w:sz="0" w:space="0" w:color="auto"/>
                <w:bottom w:val="none" w:sz="0" w:space="0" w:color="auto"/>
                <w:right w:val="none" w:sz="0" w:space="0" w:color="auto"/>
              </w:divBdr>
              <w:divsChild>
                <w:div w:id="510070446">
                  <w:marLeft w:val="0"/>
                  <w:marRight w:val="0"/>
                  <w:marTop w:val="0"/>
                  <w:marBottom w:val="0"/>
                  <w:divBdr>
                    <w:top w:val="none" w:sz="0" w:space="0" w:color="auto"/>
                    <w:left w:val="none" w:sz="0" w:space="0" w:color="auto"/>
                    <w:bottom w:val="none" w:sz="0" w:space="0" w:color="auto"/>
                    <w:right w:val="none" w:sz="0" w:space="0" w:color="auto"/>
                  </w:divBdr>
                  <w:divsChild>
                    <w:div w:id="47344605">
                      <w:marLeft w:val="0"/>
                      <w:marRight w:val="0"/>
                      <w:marTop w:val="0"/>
                      <w:marBottom w:val="0"/>
                      <w:divBdr>
                        <w:top w:val="none" w:sz="0" w:space="0" w:color="auto"/>
                        <w:left w:val="none" w:sz="0" w:space="0" w:color="auto"/>
                        <w:bottom w:val="none" w:sz="0" w:space="0" w:color="auto"/>
                        <w:right w:val="none" w:sz="0" w:space="0" w:color="auto"/>
                      </w:divBdr>
                      <w:divsChild>
                        <w:div w:id="724571434">
                          <w:marLeft w:val="0"/>
                          <w:marRight w:val="0"/>
                          <w:marTop w:val="0"/>
                          <w:marBottom w:val="0"/>
                          <w:divBdr>
                            <w:top w:val="none" w:sz="0" w:space="0" w:color="auto"/>
                            <w:left w:val="none" w:sz="0" w:space="0" w:color="auto"/>
                            <w:bottom w:val="none" w:sz="0" w:space="0" w:color="auto"/>
                            <w:right w:val="none" w:sz="0" w:space="0" w:color="auto"/>
                          </w:divBdr>
                          <w:divsChild>
                            <w:div w:id="945312995">
                              <w:marLeft w:val="0"/>
                              <w:marRight w:val="0"/>
                              <w:marTop w:val="0"/>
                              <w:marBottom w:val="0"/>
                              <w:divBdr>
                                <w:top w:val="none" w:sz="0" w:space="0" w:color="auto"/>
                                <w:left w:val="none" w:sz="0" w:space="0" w:color="auto"/>
                                <w:bottom w:val="none" w:sz="0" w:space="0" w:color="auto"/>
                                <w:right w:val="none" w:sz="0" w:space="0" w:color="auto"/>
                              </w:divBdr>
                              <w:divsChild>
                                <w:div w:id="8034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45784">
      <w:bodyDiv w:val="1"/>
      <w:marLeft w:val="0"/>
      <w:marRight w:val="0"/>
      <w:marTop w:val="0"/>
      <w:marBottom w:val="0"/>
      <w:divBdr>
        <w:top w:val="none" w:sz="0" w:space="0" w:color="auto"/>
        <w:left w:val="none" w:sz="0" w:space="0" w:color="auto"/>
        <w:bottom w:val="none" w:sz="0" w:space="0" w:color="auto"/>
        <w:right w:val="none" w:sz="0" w:space="0" w:color="auto"/>
      </w:divBdr>
      <w:divsChild>
        <w:div w:id="2093500976">
          <w:marLeft w:val="0"/>
          <w:marRight w:val="0"/>
          <w:marTop w:val="0"/>
          <w:marBottom w:val="0"/>
          <w:divBdr>
            <w:top w:val="none" w:sz="0" w:space="0" w:color="auto"/>
            <w:left w:val="none" w:sz="0" w:space="0" w:color="auto"/>
            <w:bottom w:val="none" w:sz="0" w:space="0" w:color="auto"/>
            <w:right w:val="none" w:sz="0" w:space="0" w:color="auto"/>
          </w:divBdr>
        </w:div>
      </w:divsChild>
    </w:div>
    <w:div w:id="1079255146">
      <w:bodyDiv w:val="1"/>
      <w:marLeft w:val="0"/>
      <w:marRight w:val="0"/>
      <w:marTop w:val="0"/>
      <w:marBottom w:val="0"/>
      <w:divBdr>
        <w:top w:val="none" w:sz="0" w:space="0" w:color="auto"/>
        <w:left w:val="none" w:sz="0" w:space="0" w:color="auto"/>
        <w:bottom w:val="none" w:sz="0" w:space="0" w:color="auto"/>
        <w:right w:val="none" w:sz="0" w:space="0" w:color="auto"/>
      </w:divBdr>
      <w:divsChild>
        <w:div w:id="181601086">
          <w:marLeft w:val="0"/>
          <w:marRight w:val="0"/>
          <w:marTop w:val="0"/>
          <w:marBottom w:val="0"/>
          <w:divBdr>
            <w:top w:val="none" w:sz="0" w:space="0" w:color="auto"/>
            <w:left w:val="none" w:sz="0" w:space="0" w:color="auto"/>
            <w:bottom w:val="none" w:sz="0" w:space="0" w:color="auto"/>
            <w:right w:val="none" w:sz="0" w:space="0" w:color="auto"/>
          </w:divBdr>
        </w:div>
        <w:div w:id="1955019600">
          <w:marLeft w:val="0"/>
          <w:marRight w:val="0"/>
          <w:marTop w:val="0"/>
          <w:marBottom w:val="0"/>
          <w:divBdr>
            <w:top w:val="none" w:sz="0" w:space="0" w:color="auto"/>
            <w:left w:val="none" w:sz="0" w:space="0" w:color="auto"/>
            <w:bottom w:val="none" w:sz="0" w:space="0" w:color="auto"/>
            <w:right w:val="none" w:sz="0" w:space="0" w:color="auto"/>
          </w:divBdr>
        </w:div>
        <w:div w:id="186256184">
          <w:marLeft w:val="0"/>
          <w:marRight w:val="0"/>
          <w:marTop w:val="0"/>
          <w:marBottom w:val="0"/>
          <w:divBdr>
            <w:top w:val="none" w:sz="0" w:space="0" w:color="auto"/>
            <w:left w:val="none" w:sz="0" w:space="0" w:color="auto"/>
            <w:bottom w:val="none" w:sz="0" w:space="0" w:color="auto"/>
            <w:right w:val="none" w:sz="0" w:space="0" w:color="auto"/>
          </w:divBdr>
        </w:div>
        <w:div w:id="1537621433">
          <w:marLeft w:val="0"/>
          <w:marRight w:val="0"/>
          <w:marTop w:val="0"/>
          <w:marBottom w:val="0"/>
          <w:divBdr>
            <w:top w:val="none" w:sz="0" w:space="0" w:color="auto"/>
            <w:left w:val="none" w:sz="0" w:space="0" w:color="auto"/>
            <w:bottom w:val="none" w:sz="0" w:space="0" w:color="auto"/>
            <w:right w:val="none" w:sz="0" w:space="0" w:color="auto"/>
          </w:divBdr>
        </w:div>
        <w:div w:id="2120831203">
          <w:marLeft w:val="0"/>
          <w:marRight w:val="0"/>
          <w:marTop w:val="0"/>
          <w:marBottom w:val="0"/>
          <w:divBdr>
            <w:top w:val="none" w:sz="0" w:space="0" w:color="auto"/>
            <w:left w:val="none" w:sz="0" w:space="0" w:color="auto"/>
            <w:bottom w:val="none" w:sz="0" w:space="0" w:color="auto"/>
            <w:right w:val="none" w:sz="0" w:space="0" w:color="auto"/>
          </w:divBdr>
        </w:div>
        <w:div w:id="712583660">
          <w:marLeft w:val="0"/>
          <w:marRight w:val="0"/>
          <w:marTop w:val="0"/>
          <w:marBottom w:val="0"/>
          <w:divBdr>
            <w:top w:val="none" w:sz="0" w:space="0" w:color="auto"/>
            <w:left w:val="none" w:sz="0" w:space="0" w:color="auto"/>
            <w:bottom w:val="none" w:sz="0" w:space="0" w:color="auto"/>
            <w:right w:val="none" w:sz="0" w:space="0" w:color="auto"/>
          </w:divBdr>
        </w:div>
        <w:div w:id="1214387660">
          <w:marLeft w:val="0"/>
          <w:marRight w:val="0"/>
          <w:marTop w:val="0"/>
          <w:marBottom w:val="0"/>
          <w:divBdr>
            <w:top w:val="none" w:sz="0" w:space="0" w:color="auto"/>
            <w:left w:val="none" w:sz="0" w:space="0" w:color="auto"/>
            <w:bottom w:val="none" w:sz="0" w:space="0" w:color="auto"/>
            <w:right w:val="none" w:sz="0" w:space="0" w:color="auto"/>
          </w:divBdr>
        </w:div>
        <w:div w:id="1317756939">
          <w:marLeft w:val="0"/>
          <w:marRight w:val="0"/>
          <w:marTop w:val="0"/>
          <w:marBottom w:val="0"/>
          <w:divBdr>
            <w:top w:val="none" w:sz="0" w:space="0" w:color="auto"/>
            <w:left w:val="none" w:sz="0" w:space="0" w:color="auto"/>
            <w:bottom w:val="none" w:sz="0" w:space="0" w:color="auto"/>
            <w:right w:val="none" w:sz="0" w:space="0" w:color="auto"/>
          </w:divBdr>
        </w:div>
        <w:div w:id="730268196">
          <w:marLeft w:val="0"/>
          <w:marRight w:val="0"/>
          <w:marTop w:val="0"/>
          <w:marBottom w:val="0"/>
          <w:divBdr>
            <w:top w:val="none" w:sz="0" w:space="0" w:color="auto"/>
            <w:left w:val="none" w:sz="0" w:space="0" w:color="auto"/>
            <w:bottom w:val="none" w:sz="0" w:space="0" w:color="auto"/>
            <w:right w:val="none" w:sz="0" w:space="0" w:color="auto"/>
          </w:divBdr>
        </w:div>
        <w:div w:id="930435019">
          <w:marLeft w:val="0"/>
          <w:marRight w:val="0"/>
          <w:marTop w:val="0"/>
          <w:marBottom w:val="0"/>
          <w:divBdr>
            <w:top w:val="none" w:sz="0" w:space="0" w:color="auto"/>
            <w:left w:val="none" w:sz="0" w:space="0" w:color="auto"/>
            <w:bottom w:val="none" w:sz="0" w:space="0" w:color="auto"/>
            <w:right w:val="none" w:sz="0" w:space="0" w:color="auto"/>
          </w:divBdr>
        </w:div>
        <w:div w:id="1277518433">
          <w:marLeft w:val="0"/>
          <w:marRight w:val="0"/>
          <w:marTop w:val="0"/>
          <w:marBottom w:val="0"/>
          <w:divBdr>
            <w:top w:val="none" w:sz="0" w:space="0" w:color="auto"/>
            <w:left w:val="none" w:sz="0" w:space="0" w:color="auto"/>
            <w:bottom w:val="none" w:sz="0" w:space="0" w:color="auto"/>
            <w:right w:val="none" w:sz="0" w:space="0" w:color="auto"/>
          </w:divBdr>
        </w:div>
      </w:divsChild>
    </w:div>
    <w:div w:id="1108351233">
      <w:bodyDiv w:val="1"/>
      <w:marLeft w:val="0"/>
      <w:marRight w:val="0"/>
      <w:marTop w:val="0"/>
      <w:marBottom w:val="0"/>
      <w:divBdr>
        <w:top w:val="none" w:sz="0" w:space="0" w:color="auto"/>
        <w:left w:val="none" w:sz="0" w:space="0" w:color="auto"/>
        <w:bottom w:val="none" w:sz="0" w:space="0" w:color="auto"/>
        <w:right w:val="none" w:sz="0" w:space="0" w:color="auto"/>
      </w:divBdr>
      <w:divsChild>
        <w:div w:id="745884666">
          <w:marLeft w:val="0"/>
          <w:marRight w:val="0"/>
          <w:marTop w:val="0"/>
          <w:marBottom w:val="0"/>
          <w:divBdr>
            <w:top w:val="none" w:sz="0" w:space="0" w:color="auto"/>
            <w:left w:val="none" w:sz="0" w:space="0" w:color="auto"/>
            <w:bottom w:val="none" w:sz="0" w:space="0" w:color="auto"/>
            <w:right w:val="none" w:sz="0" w:space="0" w:color="auto"/>
          </w:divBdr>
        </w:div>
      </w:divsChild>
    </w:div>
    <w:div w:id="1162771879">
      <w:bodyDiv w:val="1"/>
      <w:marLeft w:val="0"/>
      <w:marRight w:val="0"/>
      <w:marTop w:val="0"/>
      <w:marBottom w:val="0"/>
      <w:divBdr>
        <w:top w:val="none" w:sz="0" w:space="0" w:color="auto"/>
        <w:left w:val="none" w:sz="0" w:space="0" w:color="auto"/>
        <w:bottom w:val="none" w:sz="0" w:space="0" w:color="auto"/>
        <w:right w:val="none" w:sz="0" w:space="0" w:color="auto"/>
      </w:divBdr>
      <w:divsChild>
        <w:div w:id="737628878">
          <w:marLeft w:val="0"/>
          <w:marRight w:val="0"/>
          <w:marTop w:val="0"/>
          <w:marBottom w:val="0"/>
          <w:divBdr>
            <w:top w:val="none" w:sz="0" w:space="0" w:color="auto"/>
            <w:left w:val="none" w:sz="0" w:space="0" w:color="auto"/>
            <w:bottom w:val="none" w:sz="0" w:space="0" w:color="auto"/>
            <w:right w:val="none" w:sz="0" w:space="0" w:color="auto"/>
          </w:divBdr>
        </w:div>
      </w:divsChild>
    </w:div>
    <w:div w:id="1225947308">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5">
          <w:marLeft w:val="0"/>
          <w:marRight w:val="0"/>
          <w:marTop w:val="0"/>
          <w:marBottom w:val="0"/>
          <w:divBdr>
            <w:top w:val="none" w:sz="0" w:space="0" w:color="auto"/>
            <w:left w:val="none" w:sz="0" w:space="0" w:color="auto"/>
            <w:bottom w:val="none" w:sz="0" w:space="0" w:color="auto"/>
            <w:right w:val="none" w:sz="0" w:space="0" w:color="auto"/>
          </w:divBdr>
          <w:divsChild>
            <w:div w:id="1664310965">
              <w:marLeft w:val="0"/>
              <w:marRight w:val="0"/>
              <w:marTop w:val="0"/>
              <w:marBottom w:val="0"/>
              <w:divBdr>
                <w:top w:val="none" w:sz="0" w:space="0" w:color="auto"/>
                <w:left w:val="none" w:sz="0" w:space="0" w:color="auto"/>
                <w:bottom w:val="none" w:sz="0" w:space="0" w:color="auto"/>
                <w:right w:val="none" w:sz="0" w:space="0" w:color="auto"/>
              </w:divBdr>
              <w:divsChild>
                <w:div w:id="1334070707">
                  <w:marLeft w:val="0"/>
                  <w:marRight w:val="0"/>
                  <w:marTop w:val="0"/>
                  <w:marBottom w:val="0"/>
                  <w:divBdr>
                    <w:top w:val="none" w:sz="0" w:space="0" w:color="auto"/>
                    <w:left w:val="none" w:sz="0" w:space="0" w:color="auto"/>
                    <w:bottom w:val="none" w:sz="0" w:space="0" w:color="auto"/>
                    <w:right w:val="none" w:sz="0" w:space="0" w:color="auto"/>
                  </w:divBdr>
                  <w:divsChild>
                    <w:div w:id="603079126">
                      <w:marLeft w:val="0"/>
                      <w:marRight w:val="0"/>
                      <w:marTop w:val="0"/>
                      <w:marBottom w:val="0"/>
                      <w:divBdr>
                        <w:top w:val="none" w:sz="0" w:space="0" w:color="auto"/>
                        <w:left w:val="none" w:sz="0" w:space="0" w:color="auto"/>
                        <w:bottom w:val="none" w:sz="0" w:space="0" w:color="auto"/>
                        <w:right w:val="none" w:sz="0" w:space="0" w:color="auto"/>
                      </w:divBdr>
                      <w:divsChild>
                        <w:div w:id="880367199">
                          <w:marLeft w:val="0"/>
                          <w:marRight w:val="0"/>
                          <w:marTop w:val="0"/>
                          <w:marBottom w:val="0"/>
                          <w:divBdr>
                            <w:top w:val="none" w:sz="0" w:space="0" w:color="auto"/>
                            <w:left w:val="none" w:sz="0" w:space="0" w:color="auto"/>
                            <w:bottom w:val="none" w:sz="0" w:space="0" w:color="auto"/>
                            <w:right w:val="none" w:sz="0" w:space="0" w:color="auto"/>
                          </w:divBdr>
                          <w:divsChild>
                            <w:div w:id="845512287">
                              <w:marLeft w:val="0"/>
                              <w:marRight w:val="0"/>
                              <w:marTop w:val="0"/>
                              <w:marBottom w:val="0"/>
                              <w:divBdr>
                                <w:top w:val="none" w:sz="0" w:space="0" w:color="auto"/>
                                <w:left w:val="none" w:sz="0" w:space="0" w:color="auto"/>
                                <w:bottom w:val="none" w:sz="0" w:space="0" w:color="auto"/>
                                <w:right w:val="none" w:sz="0" w:space="0" w:color="auto"/>
                              </w:divBdr>
                              <w:divsChild>
                                <w:div w:id="5562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501784">
      <w:bodyDiv w:val="1"/>
      <w:marLeft w:val="0"/>
      <w:marRight w:val="0"/>
      <w:marTop w:val="0"/>
      <w:marBottom w:val="0"/>
      <w:divBdr>
        <w:top w:val="none" w:sz="0" w:space="0" w:color="auto"/>
        <w:left w:val="none" w:sz="0" w:space="0" w:color="auto"/>
        <w:bottom w:val="none" w:sz="0" w:space="0" w:color="auto"/>
        <w:right w:val="none" w:sz="0" w:space="0" w:color="auto"/>
      </w:divBdr>
    </w:div>
    <w:div w:id="1306350477">
      <w:bodyDiv w:val="1"/>
      <w:marLeft w:val="0"/>
      <w:marRight w:val="0"/>
      <w:marTop w:val="0"/>
      <w:marBottom w:val="0"/>
      <w:divBdr>
        <w:top w:val="none" w:sz="0" w:space="0" w:color="auto"/>
        <w:left w:val="none" w:sz="0" w:space="0" w:color="auto"/>
        <w:bottom w:val="none" w:sz="0" w:space="0" w:color="auto"/>
        <w:right w:val="none" w:sz="0" w:space="0" w:color="auto"/>
      </w:divBdr>
    </w:div>
    <w:div w:id="1332640904">
      <w:bodyDiv w:val="1"/>
      <w:marLeft w:val="0"/>
      <w:marRight w:val="0"/>
      <w:marTop w:val="0"/>
      <w:marBottom w:val="0"/>
      <w:divBdr>
        <w:top w:val="none" w:sz="0" w:space="0" w:color="auto"/>
        <w:left w:val="none" w:sz="0" w:space="0" w:color="auto"/>
        <w:bottom w:val="none" w:sz="0" w:space="0" w:color="auto"/>
        <w:right w:val="none" w:sz="0" w:space="0" w:color="auto"/>
      </w:divBdr>
    </w:div>
    <w:div w:id="1468887457">
      <w:bodyDiv w:val="1"/>
      <w:marLeft w:val="0"/>
      <w:marRight w:val="0"/>
      <w:marTop w:val="0"/>
      <w:marBottom w:val="0"/>
      <w:divBdr>
        <w:top w:val="none" w:sz="0" w:space="0" w:color="auto"/>
        <w:left w:val="none" w:sz="0" w:space="0" w:color="auto"/>
        <w:bottom w:val="none" w:sz="0" w:space="0" w:color="auto"/>
        <w:right w:val="none" w:sz="0" w:space="0" w:color="auto"/>
      </w:divBdr>
    </w:div>
    <w:div w:id="1518689829">
      <w:bodyDiv w:val="1"/>
      <w:marLeft w:val="0"/>
      <w:marRight w:val="0"/>
      <w:marTop w:val="0"/>
      <w:marBottom w:val="0"/>
      <w:divBdr>
        <w:top w:val="none" w:sz="0" w:space="0" w:color="auto"/>
        <w:left w:val="none" w:sz="0" w:space="0" w:color="auto"/>
        <w:bottom w:val="none" w:sz="0" w:space="0" w:color="auto"/>
        <w:right w:val="none" w:sz="0" w:space="0" w:color="auto"/>
      </w:divBdr>
      <w:divsChild>
        <w:div w:id="932324347">
          <w:marLeft w:val="0"/>
          <w:marRight w:val="0"/>
          <w:marTop w:val="0"/>
          <w:marBottom w:val="0"/>
          <w:divBdr>
            <w:top w:val="none" w:sz="0" w:space="0" w:color="auto"/>
            <w:left w:val="none" w:sz="0" w:space="0" w:color="auto"/>
            <w:bottom w:val="none" w:sz="0" w:space="0" w:color="auto"/>
            <w:right w:val="none" w:sz="0" w:space="0" w:color="auto"/>
          </w:divBdr>
        </w:div>
      </w:divsChild>
    </w:div>
    <w:div w:id="1582253229">
      <w:bodyDiv w:val="1"/>
      <w:marLeft w:val="0"/>
      <w:marRight w:val="0"/>
      <w:marTop w:val="0"/>
      <w:marBottom w:val="0"/>
      <w:divBdr>
        <w:top w:val="none" w:sz="0" w:space="0" w:color="auto"/>
        <w:left w:val="none" w:sz="0" w:space="0" w:color="auto"/>
        <w:bottom w:val="none" w:sz="0" w:space="0" w:color="auto"/>
        <w:right w:val="none" w:sz="0" w:space="0" w:color="auto"/>
      </w:divBdr>
    </w:div>
    <w:div w:id="1593202820">
      <w:bodyDiv w:val="1"/>
      <w:marLeft w:val="0"/>
      <w:marRight w:val="0"/>
      <w:marTop w:val="0"/>
      <w:marBottom w:val="0"/>
      <w:divBdr>
        <w:top w:val="none" w:sz="0" w:space="0" w:color="auto"/>
        <w:left w:val="none" w:sz="0" w:space="0" w:color="auto"/>
        <w:bottom w:val="none" w:sz="0" w:space="0" w:color="auto"/>
        <w:right w:val="none" w:sz="0" w:space="0" w:color="auto"/>
      </w:divBdr>
    </w:div>
    <w:div w:id="1642805742">
      <w:bodyDiv w:val="1"/>
      <w:marLeft w:val="0"/>
      <w:marRight w:val="0"/>
      <w:marTop w:val="0"/>
      <w:marBottom w:val="0"/>
      <w:divBdr>
        <w:top w:val="none" w:sz="0" w:space="0" w:color="auto"/>
        <w:left w:val="none" w:sz="0" w:space="0" w:color="auto"/>
        <w:bottom w:val="none" w:sz="0" w:space="0" w:color="auto"/>
        <w:right w:val="none" w:sz="0" w:space="0" w:color="auto"/>
      </w:divBdr>
    </w:div>
    <w:div w:id="1680887647">
      <w:bodyDiv w:val="1"/>
      <w:marLeft w:val="0"/>
      <w:marRight w:val="0"/>
      <w:marTop w:val="0"/>
      <w:marBottom w:val="0"/>
      <w:divBdr>
        <w:top w:val="none" w:sz="0" w:space="0" w:color="auto"/>
        <w:left w:val="none" w:sz="0" w:space="0" w:color="auto"/>
        <w:bottom w:val="none" w:sz="0" w:space="0" w:color="auto"/>
        <w:right w:val="none" w:sz="0" w:space="0" w:color="auto"/>
      </w:divBdr>
      <w:divsChild>
        <w:div w:id="208495192">
          <w:marLeft w:val="0"/>
          <w:marRight w:val="0"/>
          <w:marTop w:val="0"/>
          <w:marBottom w:val="0"/>
          <w:divBdr>
            <w:top w:val="none" w:sz="0" w:space="0" w:color="auto"/>
            <w:left w:val="none" w:sz="0" w:space="0" w:color="auto"/>
            <w:bottom w:val="none" w:sz="0" w:space="0" w:color="auto"/>
            <w:right w:val="none" w:sz="0" w:space="0" w:color="auto"/>
          </w:divBdr>
          <w:divsChild>
            <w:div w:id="870873624">
              <w:marLeft w:val="0"/>
              <w:marRight w:val="0"/>
              <w:marTop w:val="0"/>
              <w:marBottom w:val="0"/>
              <w:divBdr>
                <w:top w:val="none" w:sz="0" w:space="0" w:color="auto"/>
                <w:left w:val="none" w:sz="0" w:space="0" w:color="auto"/>
                <w:bottom w:val="none" w:sz="0" w:space="0" w:color="auto"/>
                <w:right w:val="none" w:sz="0" w:space="0" w:color="auto"/>
              </w:divBdr>
              <w:divsChild>
                <w:div w:id="317073562">
                  <w:marLeft w:val="0"/>
                  <w:marRight w:val="0"/>
                  <w:marTop w:val="0"/>
                  <w:marBottom w:val="0"/>
                  <w:divBdr>
                    <w:top w:val="none" w:sz="0" w:space="0" w:color="auto"/>
                    <w:left w:val="none" w:sz="0" w:space="0" w:color="auto"/>
                    <w:bottom w:val="none" w:sz="0" w:space="0" w:color="auto"/>
                    <w:right w:val="none" w:sz="0" w:space="0" w:color="auto"/>
                  </w:divBdr>
                  <w:divsChild>
                    <w:div w:id="740950253">
                      <w:marLeft w:val="0"/>
                      <w:marRight w:val="0"/>
                      <w:marTop w:val="0"/>
                      <w:marBottom w:val="0"/>
                      <w:divBdr>
                        <w:top w:val="none" w:sz="0" w:space="0" w:color="auto"/>
                        <w:left w:val="none" w:sz="0" w:space="0" w:color="auto"/>
                        <w:bottom w:val="none" w:sz="0" w:space="0" w:color="auto"/>
                        <w:right w:val="none" w:sz="0" w:space="0" w:color="auto"/>
                      </w:divBdr>
                      <w:divsChild>
                        <w:div w:id="568882122">
                          <w:marLeft w:val="0"/>
                          <w:marRight w:val="0"/>
                          <w:marTop w:val="0"/>
                          <w:marBottom w:val="0"/>
                          <w:divBdr>
                            <w:top w:val="none" w:sz="0" w:space="0" w:color="auto"/>
                            <w:left w:val="none" w:sz="0" w:space="0" w:color="auto"/>
                            <w:bottom w:val="none" w:sz="0" w:space="0" w:color="auto"/>
                            <w:right w:val="none" w:sz="0" w:space="0" w:color="auto"/>
                          </w:divBdr>
                          <w:divsChild>
                            <w:div w:id="196086789">
                              <w:marLeft w:val="0"/>
                              <w:marRight w:val="0"/>
                              <w:marTop w:val="480"/>
                              <w:marBottom w:val="0"/>
                              <w:divBdr>
                                <w:top w:val="none" w:sz="0" w:space="0" w:color="auto"/>
                                <w:left w:val="none" w:sz="0" w:space="0" w:color="auto"/>
                                <w:bottom w:val="none" w:sz="0" w:space="0" w:color="auto"/>
                                <w:right w:val="none" w:sz="0" w:space="0" w:color="auto"/>
                              </w:divBdr>
                            </w:div>
                            <w:div w:id="450635282">
                              <w:marLeft w:val="0"/>
                              <w:marRight w:val="0"/>
                              <w:marTop w:val="0"/>
                              <w:marBottom w:val="0"/>
                              <w:divBdr>
                                <w:top w:val="none" w:sz="0" w:space="0" w:color="auto"/>
                                <w:left w:val="none" w:sz="0" w:space="0" w:color="auto"/>
                                <w:bottom w:val="none" w:sz="0" w:space="0" w:color="auto"/>
                                <w:right w:val="none" w:sz="0" w:space="0" w:color="auto"/>
                              </w:divBdr>
                            </w:div>
                            <w:div w:id="1319843758">
                              <w:marLeft w:val="0"/>
                              <w:marRight w:val="0"/>
                              <w:marTop w:val="0"/>
                              <w:marBottom w:val="0"/>
                              <w:divBdr>
                                <w:top w:val="none" w:sz="0" w:space="0" w:color="auto"/>
                                <w:left w:val="none" w:sz="0" w:space="0" w:color="auto"/>
                                <w:bottom w:val="none" w:sz="0" w:space="0" w:color="auto"/>
                                <w:right w:val="none" w:sz="0" w:space="0" w:color="auto"/>
                              </w:divBdr>
                              <w:divsChild>
                                <w:div w:id="1272862788">
                                  <w:marLeft w:val="0"/>
                                  <w:marRight w:val="0"/>
                                  <w:marTop w:val="0"/>
                                  <w:marBottom w:val="0"/>
                                  <w:divBdr>
                                    <w:top w:val="none" w:sz="0" w:space="0" w:color="auto"/>
                                    <w:left w:val="none" w:sz="0" w:space="0" w:color="auto"/>
                                    <w:bottom w:val="none" w:sz="0" w:space="0" w:color="auto"/>
                                    <w:right w:val="none" w:sz="0" w:space="0" w:color="auto"/>
                                  </w:divBdr>
                                </w:div>
                              </w:divsChild>
                            </w:div>
                            <w:div w:id="1671827654">
                              <w:marLeft w:val="0"/>
                              <w:marRight w:val="0"/>
                              <w:marTop w:val="120"/>
                              <w:marBottom w:val="0"/>
                              <w:divBdr>
                                <w:top w:val="none" w:sz="0" w:space="0" w:color="auto"/>
                                <w:left w:val="none" w:sz="0" w:space="0" w:color="auto"/>
                                <w:bottom w:val="none" w:sz="0" w:space="0" w:color="auto"/>
                                <w:right w:val="none" w:sz="0" w:space="0" w:color="auto"/>
                              </w:divBdr>
                              <w:divsChild>
                                <w:div w:id="337999616">
                                  <w:marLeft w:val="0"/>
                                  <w:marRight w:val="240"/>
                                  <w:marTop w:val="0"/>
                                  <w:marBottom w:val="0"/>
                                  <w:divBdr>
                                    <w:top w:val="none" w:sz="0" w:space="0" w:color="auto"/>
                                    <w:left w:val="none" w:sz="0" w:space="0" w:color="auto"/>
                                    <w:bottom w:val="none" w:sz="0" w:space="0" w:color="auto"/>
                                    <w:right w:val="none" w:sz="0" w:space="0" w:color="auto"/>
                                  </w:divBdr>
                                </w:div>
                                <w:div w:id="17852277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238107">
      <w:bodyDiv w:val="1"/>
      <w:marLeft w:val="0"/>
      <w:marRight w:val="0"/>
      <w:marTop w:val="0"/>
      <w:marBottom w:val="0"/>
      <w:divBdr>
        <w:top w:val="none" w:sz="0" w:space="0" w:color="auto"/>
        <w:left w:val="none" w:sz="0" w:space="0" w:color="auto"/>
        <w:bottom w:val="none" w:sz="0" w:space="0" w:color="auto"/>
        <w:right w:val="none" w:sz="0" w:space="0" w:color="auto"/>
      </w:divBdr>
    </w:div>
    <w:div w:id="1752703928">
      <w:bodyDiv w:val="1"/>
      <w:marLeft w:val="0"/>
      <w:marRight w:val="0"/>
      <w:marTop w:val="0"/>
      <w:marBottom w:val="0"/>
      <w:divBdr>
        <w:top w:val="none" w:sz="0" w:space="0" w:color="auto"/>
        <w:left w:val="none" w:sz="0" w:space="0" w:color="auto"/>
        <w:bottom w:val="none" w:sz="0" w:space="0" w:color="auto"/>
        <w:right w:val="none" w:sz="0" w:space="0" w:color="auto"/>
      </w:divBdr>
      <w:divsChild>
        <w:div w:id="778183945">
          <w:marLeft w:val="0"/>
          <w:marRight w:val="0"/>
          <w:marTop w:val="0"/>
          <w:marBottom w:val="0"/>
          <w:divBdr>
            <w:top w:val="none" w:sz="0" w:space="0" w:color="auto"/>
            <w:left w:val="none" w:sz="0" w:space="0" w:color="auto"/>
            <w:bottom w:val="none" w:sz="0" w:space="0" w:color="auto"/>
            <w:right w:val="none" w:sz="0" w:space="0" w:color="auto"/>
          </w:divBdr>
        </w:div>
      </w:divsChild>
    </w:div>
    <w:div w:id="1792478436">
      <w:bodyDiv w:val="1"/>
      <w:marLeft w:val="0"/>
      <w:marRight w:val="0"/>
      <w:marTop w:val="0"/>
      <w:marBottom w:val="0"/>
      <w:divBdr>
        <w:top w:val="none" w:sz="0" w:space="0" w:color="auto"/>
        <w:left w:val="none" w:sz="0" w:space="0" w:color="auto"/>
        <w:bottom w:val="none" w:sz="0" w:space="0" w:color="auto"/>
        <w:right w:val="none" w:sz="0" w:space="0" w:color="auto"/>
      </w:divBdr>
      <w:divsChild>
        <w:div w:id="1487744249">
          <w:marLeft w:val="0"/>
          <w:marRight w:val="0"/>
          <w:marTop w:val="0"/>
          <w:marBottom w:val="0"/>
          <w:divBdr>
            <w:top w:val="none" w:sz="0" w:space="0" w:color="auto"/>
            <w:left w:val="none" w:sz="0" w:space="0" w:color="auto"/>
            <w:bottom w:val="none" w:sz="0" w:space="0" w:color="auto"/>
            <w:right w:val="none" w:sz="0" w:space="0" w:color="auto"/>
          </w:divBdr>
        </w:div>
      </w:divsChild>
    </w:div>
    <w:div w:id="1922911001">
      <w:bodyDiv w:val="1"/>
      <w:marLeft w:val="0"/>
      <w:marRight w:val="0"/>
      <w:marTop w:val="0"/>
      <w:marBottom w:val="0"/>
      <w:divBdr>
        <w:top w:val="none" w:sz="0" w:space="0" w:color="auto"/>
        <w:left w:val="none" w:sz="0" w:space="0" w:color="auto"/>
        <w:bottom w:val="none" w:sz="0" w:space="0" w:color="auto"/>
        <w:right w:val="none" w:sz="0" w:space="0" w:color="auto"/>
      </w:divBdr>
    </w:div>
    <w:div w:id="1942566158">
      <w:bodyDiv w:val="1"/>
      <w:marLeft w:val="0"/>
      <w:marRight w:val="0"/>
      <w:marTop w:val="0"/>
      <w:marBottom w:val="0"/>
      <w:divBdr>
        <w:top w:val="none" w:sz="0" w:space="0" w:color="auto"/>
        <w:left w:val="none" w:sz="0" w:space="0" w:color="auto"/>
        <w:bottom w:val="none" w:sz="0" w:space="0" w:color="auto"/>
        <w:right w:val="none" w:sz="0" w:space="0" w:color="auto"/>
      </w:divBdr>
      <w:divsChild>
        <w:div w:id="897781500">
          <w:marLeft w:val="0"/>
          <w:marRight w:val="0"/>
          <w:marTop w:val="0"/>
          <w:marBottom w:val="0"/>
          <w:divBdr>
            <w:top w:val="none" w:sz="0" w:space="0" w:color="auto"/>
            <w:left w:val="none" w:sz="0" w:space="0" w:color="auto"/>
            <w:bottom w:val="none" w:sz="0" w:space="0" w:color="auto"/>
            <w:right w:val="none" w:sz="0" w:space="0" w:color="auto"/>
          </w:divBdr>
        </w:div>
      </w:divsChild>
    </w:div>
    <w:div w:id="1991132751">
      <w:bodyDiv w:val="1"/>
      <w:marLeft w:val="0"/>
      <w:marRight w:val="0"/>
      <w:marTop w:val="0"/>
      <w:marBottom w:val="0"/>
      <w:divBdr>
        <w:top w:val="none" w:sz="0" w:space="0" w:color="auto"/>
        <w:left w:val="none" w:sz="0" w:space="0" w:color="auto"/>
        <w:bottom w:val="none" w:sz="0" w:space="0" w:color="auto"/>
        <w:right w:val="none" w:sz="0" w:space="0" w:color="auto"/>
      </w:divBdr>
    </w:div>
    <w:div w:id="2051801511">
      <w:bodyDiv w:val="1"/>
      <w:marLeft w:val="0"/>
      <w:marRight w:val="0"/>
      <w:marTop w:val="0"/>
      <w:marBottom w:val="0"/>
      <w:divBdr>
        <w:top w:val="none" w:sz="0" w:space="0" w:color="auto"/>
        <w:left w:val="none" w:sz="0" w:space="0" w:color="auto"/>
        <w:bottom w:val="none" w:sz="0" w:space="0" w:color="auto"/>
        <w:right w:val="none" w:sz="0" w:space="0" w:color="auto"/>
      </w:divBdr>
    </w:div>
    <w:div w:id="2100171069">
      <w:bodyDiv w:val="1"/>
      <w:marLeft w:val="0"/>
      <w:marRight w:val="0"/>
      <w:marTop w:val="0"/>
      <w:marBottom w:val="0"/>
      <w:divBdr>
        <w:top w:val="none" w:sz="0" w:space="0" w:color="auto"/>
        <w:left w:val="none" w:sz="0" w:space="0" w:color="auto"/>
        <w:bottom w:val="none" w:sz="0" w:space="0" w:color="auto"/>
        <w:right w:val="none" w:sz="0" w:space="0" w:color="auto"/>
      </w:divBdr>
    </w:div>
    <w:div w:id="21044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B40D-6E06-42CA-A10E-2A6E3994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8031</Words>
  <Characters>46415</Characters>
  <Application>Microsoft Office Word</Application>
  <DocSecurity>0</DocSecurity>
  <Lines>386</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54338</CharactersWithSpaces>
  <SharedDoc>false</SharedDoc>
  <HLinks>
    <vt:vector size="204" baseType="variant">
      <vt:variant>
        <vt:i4>6029378</vt:i4>
      </vt:variant>
      <vt:variant>
        <vt:i4>191</vt:i4>
      </vt:variant>
      <vt:variant>
        <vt:i4>0</vt:i4>
      </vt:variant>
      <vt:variant>
        <vt:i4>5</vt:i4>
      </vt:variant>
      <vt:variant>
        <vt:lpwstr>http://www.stop-tabac.ch/</vt:lpwstr>
      </vt:variant>
      <vt:variant>
        <vt:lpwstr/>
      </vt:variant>
      <vt:variant>
        <vt:i4>4390923</vt:i4>
      </vt:variant>
      <vt:variant>
        <vt:i4>184</vt:i4>
      </vt:variant>
      <vt:variant>
        <vt:i4>0</vt:i4>
      </vt:variant>
      <vt:variant>
        <vt:i4>5</vt:i4>
      </vt:variant>
      <vt:variant>
        <vt:lpwstr/>
      </vt:variant>
      <vt:variant>
        <vt:lpwstr>_ENREF_25</vt:lpwstr>
      </vt:variant>
      <vt:variant>
        <vt:i4>4390923</vt:i4>
      </vt:variant>
      <vt:variant>
        <vt:i4>178</vt:i4>
      </vt:variant>
      <vt:variant>
        <vt:i4>0</vt:i4>
      </vt:variant>
      <vt:variant>
        <vt:i4>5</vt:i4>
      </vt:variant>
      <vt:variant>
        <vt:lpwstr/>
      </vt:variant>
      <vt:variant>
        <vt:lpwstr>_ENREF_24</vt:lpwstr>
      </vt:variant>
      <vt:variant>
        <vt:i4>4194315</vt:i4>
      </vt:variant>
      <vt:variant>
        <vt:i4>172</vt:i4>
      </vt:variant>
      <vt:variant>
        <vt:i4>0</vt:i4>
      </vt:variant>
      <vt:variant>
        <vt:i4>5</vt:i4>
      </vt:variant>
      <vt:variant>
        <vt:lpwstr/>
      </vt:variant>
      <vt:variant>
        <vt:lpwstr>_ENREF_17</vt:lpwstr>
      </vt:variant>
      <vt:variant>
        <vt:i4>4390923</vt:i4>
      </vt:variant>
      <vt:variant>
        <vt:i4>166</vt:i4>
      </vt:variant>
      <vt:variant>
        <vt:i4>0</vt:i4>
      </vt:variant>
      <vt:variant>
        <vt:i4>5</vt:i4>
      </vt:variant>
      <vt:variant>
        <vt:lpwstr/>
      </vt:variant>
      <vt:variant>
        <vt:lpwstr>_ENREF_23</vt:lpwstr>
      </vt:variant>
      <vt:variant>
        <vt:i4>4390923</vt:i4>
      </vt:variant>
      <vt:variant>
        <vt:i4>160</vt:i4>
      </vt:variant>
      <vt:variant>
        <vt:i4>0</vt:i4>
      </vt:variant>
      <vt:variant>
        <vt:i4>5</vt:i4>
      </vt:variant>
      <vt:variant>
        <vt:lpwstr/>
      </vt:variant>
      <vt:variant>
        <vt:lpwstr>_ENREF_22</vt:lpwstr>
      </vt:variant>
      <vt:variant>
        <vt:i4>4390923</vt:i4>
      </vt:variant>
      <vt:variant>
        <vt:i4>154</vt:i4>
      </vt:variant>
      <vt:variant>
        <vt:i4>0</vt:i4>
      </vt:variant>
      <vt:variant>
        <vt:i4>5</vt:i4>
      </vt:variant>
      <vt:variant>
        <vt:lpwstr/>
      </vt:variant>
      <vt:variant>
        <vt:lpwstr>_ENREF_21</vt:lpwstr>
      </vt:variant>
      <vt:variant>
        <vt:i4>4390923</vt:i4>
      </vt:variant>
      <vt:variant>
        <vt:i4>148</vt:i4>
      </vt:variant>
      <vt:variant>
        <vt:i4>0</vt:i4>
      </vt:variant>
      <vt:variant>
        <vt:i4>5</vt:i4>
      </vt:variant>
      <vt:variant>
        <vt:lpwstr/>
      </vt:variant>
      <vt:variant>
        <vt:lpwstr>_ENREF_20</vt:lpwstr>
      </vt:variant>
      <vt:variant>
        <vt:i4>4194315</vt:i4>
      </vt:variant>
      <vt:variant>
        <vt:i4>142</vt:i4>
      </vt:variant>
      <vt:variant>
        <vt:i4>0</vt:i4>
      </vt:variant>
      <vt:variant>
        <vt:i4>5</vt:i4>
      </vt:variant>
      <vt:variant>
        <vt:lpwstr/>
      </vt:variant>
      <vt:variant>
        <vt:lpwstr>_ENREF_17</vt:lpwstr>
      </vt:variant>
      <vt:variant>
        <vt:i4>4194315</vt:i4>
      </vt:variant>
      <vt:variant>
        <vt:i4>136</vt:i4>
      </vt:variant>
      <vt:variant>
        <vt:i4>0</vt:i4>
      </vt:variant>
      <vt:variant>
        <vt:i4>5</vt:i4>
      </vt:variant>
      <vt:variant>
        <vt:lpwstr/>
      </vt:variant>
      <vt:variant>
        <vt:lpwstr>_ENREF_15</vt:lpwstr>
      </vt:variant>
      <vt:variant>
        <vt:i4>4194315</vt:i4>
      </vt:variant>
      <vt:variant>
        <vt:i4>133</vt:i4>
      </vt:variant>
      <vt:variant>
        <vt:i4>0</vt:i4>
      </vt:variant>
      <vt:variant>
        <vt:i4>5</vt:i4>
      </vt:variant>
      <vt:variant>
        <vt:lpwstr/>
      </vt:variant>
      <vt:variant>
        <vt:lpwstr>_ENREF_14</vt:lpwstr>
      </vt:variant>
      <vt:variant>
        <vt:i4>4194315</vt:i4>
      </vt:variant>
      <vt:variant>
        <vt:i4>125</vt:i4>
      </vt:variant>
      <vt:variant>
        <vt:i4>0</vt:i4>
      </vt:variant>
      <vt:variant>
        <vt:i4>5</vt:i4>
      </vt:variant>
      <vt:variant>
        <vt:lpwstr/>
      </vt:variant>
      <vt:variant>
        <vt:lpwstr>_ENREF_19</vt:lpwstr>
      </vt:variant>
      <vt:variant>
        <vt:i4>4194315</vt:i4>
      </vt:variant>
      <vt:variant>
        <vt:i4>117</vt:i4>
      </vt:variant>
      <vt:variant>
        <vt:i4>0</vt:i4>
      </vt:variant>
      <vt:variant>
        <vt:i4>5</vt:i4>
      </vt:variant>
      <vt:variant>
        <vt:lpwstr/>
      </vt:variant>
      <vt:variant>
        <vt:lpwstr>_ENREF_18</vt:lpwstr>
      </vt:variant>
      <vt:variant>
        <vt:i4>4194315</vt:i4>
      </vt:variant>
      <vt:variant>
        <vt:i4>111</vt:i4>
      </vt:variant>
      <vt:variant>
        <vt:i4>0</vt:i4>
      </vt:variant>
      <vt:variant>
        <vt:i4>5</vt:i4>
      </vt:variant>
      <vt:variant>
        <vt:lpwstr/>
      </vt:variant>
      <vt:variant>
        <vt:lpwstr>_ENREF_17</vt:lpwstr>
      </vt:variant>
      <vt:variant>
        <vt:i4>4194315</vt:i4>
      </vt:variant>
      <vt:variant>
        <vt:i4>105</vt:i4>
      </vt:variant>
      <vt:variant>
        <vt:i4>0</vt:i4>
      </vt:variant>
      <vt:variant>
        <vt:i4>5</vt:i4>
      </vt:variant>
      <vt:variant>
        <vt:lpwstr/>
      </vt:variant>
      <vt:variant>
        <vt:lpwstr>_ENREF_16</vt:lpwstr>
      </vt:variant>
      <vt:variant>
        <vt:i4>4521995</vt:i4>
      </vt:variant>
      <vt:variant>
        <vt:i4>102</vt:i4>
      </vt:variant>
      <vt:variant>
        <vt:i4>0</vt:i4>
      </vt:variant>
      <vt:variant>
        <vt:i4>5</vt:i4>
      </vt:variant>
      <vt:variant>
        <vt:lpwstr/>
      </vt:variant>
      <vt:variant>
        <vt:lpwstr>_ENREF_4</vt:lpwstr>
      </vt:variant>
      <vt:variant>
        <vt:i4>4194315</vt:i4>
      </vt:variant>
      <vt:variant>
        <vt:i4>94</vt:i4>
      </vt:variant>
      <vt:variant>
        <vt:i4>0</vt:i4>
      </vt:variant>
      <vt:variant>
        <vt:i4>5</vt:i4>
      </vt:variant>
      <vt:variant>
        <vt:lpwstr/>
      </vt:variant>
      <vt:variant>
        <vt:lpwstr>_ENREF_15</vt:lpwstr>
      </vt:variant>
      <vt:variant>
        <vt:i4>4194315</vt:i4>
      </vt:variant>
      <vt:variant>
        <vt:i4>91</vt:i4>
      </vt:variant>
      <vt:variant>
        <vt:i4>0</vt:i4>
      </vt:variant>
      <vt:variant>
        <vt:i4>5</vt:i4>
      </vt:variant>
      <vt:variant>
        <vt:lpwstr/>
      </vt:variant>
      <vt:variant>
        <vt:lpwstr>_ENREF_14</vt:lpwstr>
      </vt:variant>
      <vt:variant>
        <vt:i4>4194315</vt:i4>
      </vt:variant>
      <vt:variant>
        <vt:i4>83</vt:i4>
      </vt:variant>
      <vt:variant>
        <vt:i4>0</vt:i4>
      </vt:variant>
      <vt:variant>
        <vt:i4>5</vt:i4>
      </vt:variant>
      <vt:variant>
        <vt:lpwstr/>
      </vt:variant>
      <vt:variant>
        <vt:lpwstr>_ENREF_13</vt:lpwstr>
      </vt:variant>
      <vt:variant>
        <vt:i4>4194315</vt:i4>
      </vt:variant>
      <vt:variant>
        <vt:i4>77</vt:i4>
      </vt:variant>
      <vt:variant>
        <vt:i4>0</vt:i4>
      </vt:variant>
      <vt:variant>
        <vt:i4>5</vt:i4>
      </vt:variant>
      <vt:variant>
        <vt:lpwstr/>
      </vt:variant>
      <vt:variant>
        <vt:lpwstr>_ENREF_12</vt:lpwstr>
      </vt:variant>
      <vt:variant>
        <vt:i4>4194315</vt:i4>
      </vt:variant>
      <vt:variant>
        <vt:i4>71</vt:i4>
      </vt:variant>
      <vt:variant>
        <vt:i4>0</vt:i4>
      </vt:variant>
      <vt:variant>
        <vt:i4>5</vt:i4>
      </vt:variant>
      <vt:variant>
        <vt:lpwstr/>
      </vt:variant>
      <vt:variant>
        <vt:lpwstr>_ENREF_12</vt:lpwstr>
      </vt:variant>
      <vt:variant>
        <vt:i4>4194315</vt:i4>
      </vt:variant>
      <vt:variant>
        <vt:i4>68</vt:i4>
      </vt:variant>
      <vt:variant>
        <vt:i4>0</vt:i4>
      </vt:variant>
      <vt:variant>
        <vt:i4>5</vt:i4>
      </vt:variant>
      <vt:variant>
        <vt:lpwstr/>
      </vt:variant>
      <vt:variant>
        <vt:lpwstr>_ENREF_11</vt:lpwstr>
      </vt:variant>
      <vt:variant>
        <vt:i4>4194315</vt:i4>
      </vt:variant>
      <vt:variant>
        <vt:i4>60</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4784139</vt:i4>
      </vt:variant>
      <vt:variant>
        <vt:i4>49</vt:i4>
      </vt:variant>
      <vt:variant>
        <vt:i4>0</vt:i4>
      </vt:variant>
      <vt:variant>
        <vt:i4>5</vt:i4>
      </vt:variant>
      <vt:variant>
        <vt:lpwstr/>
      </vt:variant>
      <vt:variant>
        <vt:lpwstr>_ENREF_8</vt:lpwstr>
      </vt:variant>
      <vt:variant>
        <vt:i4>4653067</vt:i4>
      </vt:variant>
      <vt:variant>
        <vt:i4>43</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4587531</vt:i4>
      </vt:variant>
      <vt:variant>
        <vt:i4>31</vt:i4>
      </vt:variant>
      <vt:variant>
        <vt:i4>0</vt:i4>
      </vt:variant>
      <vt:variant>
        <vt:i4>5</vt:i4>
      </vt:variant>
      <vt:variant>
        <vt:lpwstr/>
      </vt:variant>
      <vt:variant>
        <vt:lpwstr>_ENREF_7</vt:lpwstr>
      </vt:variant>
      <vt:variant>
        <vt:i4>4653067</vt:i4>
      </vt:variant>
      <vt:variant>
        <vt:i4>25</vt:i4>
      </vt:variant>
      <vt:variant>
        <vt:i4>0</vt:i4>
      </vt:variant>
      <vt:variant>
        <vt:i4>5</vt:i4>
      </vt:variant>
      <vt:variant>
        <vt:lpwstr/>
      </vt:variant>
      <vt:variant>
        <vt:lpwstr>_ENREF_6</vt:lpwstr>
      </vt:variant>
      <vt:variant>
        <vt:i4>4456459</vt:i4>
      </vt:variant>
      <vt:variant>
        <vt:i4>22</vt:i4>
      </vt:variant>
      <vt:variant>
        <vt:i4>0</vt:i4>
      </vt:variant>
      <vt:variant>
        <vt:i4>5</vt:i4>
      </vt:variant>
      <vt:variant>
        <vt:lpwstr/>
      </vt:variant>
      <vt:variant>
        <vt:lpwstr>_ENREF_5</vt:lpwstr>
      </vt:variant>
      <vt:variant>
        <vt:i4>4521995</vt:i4>
      </vt:variant>
      <vt:variant>
        <vt:i4>14</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2017-06-15T15:11:00Z</dcterms:created>
  <dcterms:modified xsi:type="dcterms:W3CDTF">2017-06-16T08:38:00Z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id="pdZBT4bp"/&gt;&lt;style id="http://www.zotero.org/styles/journal-of-medical-internet-research" hasBibliography="1" bibliographyStyleHasBeenSet="1"/&gt;&lt;prefs&gt;&lt;pref name="fieldType" value="Field"/&gt;&lt;pref</vt:lpwstr>
  </property>
  <property fmtid="{D5CDD505-2E9C-101B-9397-08002B2CF9AE}" pid="3" name="ZOTERO_PREF_2">
    <vt:lpwstr> name="storeReferences" value="true"/&gt;&lt;pref name="automaticJournalAbbreviations" value="true"/&gt;&lt;pref name="noteType" value=""/&gt;&lt;/prefs&gt;&lt;/data&gt;</vt:lpwstr>
  </property>
</Properties>
</file>